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u w:color="000000"/>
          <w:bdr w:val="nil"/>
        </w:rPr>
      </w:pPr>
      <w:r w:rsidRPr="000D1A08">
        <w:rPr>
          <w:rFonts w:ascii="Georgia" w:eastAsia="Arial Unicode MS" w:hAnsi="Georgia" w:cs="Times New Roman"/>
          <w:b/>
          <w:bCs/>
          <w:sz w:val="24"/>
          <w:szCs w:val="24"/>
          <w:bdr w:val="nil"/>
        </w:rPr>
        <w:t>APPENDIX A. STUDY GRADING TABLES</w:t>
      </w: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uto"/>
        <w:rPr>
          <w:rFonts w:ascii="Georgia" w:eastAsia="Georgia" w:hAnsi="Georgia" w:cs="Georgia"/>
          <w:b/>
          <w:bCs/>
          <w:color w:val="000000"/>
          <w:sz w:val="24"/>
          <w:szCs w:val="24"/>
          <w:u w:color="000000"/>
          <w:bdr w:val="nil"/>
        </w:rPr>
      </w:pPr>
    </w:p>
    <w:tbl>
      <w:tblPr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3260"/>
        <w:gridCol w:w="1843"/>
      </w:tblGrid>
      <w:tr w:rsidR="000D1A08" w:rsidRPr="000D1A08" w:rsidTr="00E3660B">
        <w:trPr>
          <w:trHeight w:val="30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SECTION: </w:t>
            </w:r>
            <w:r w:rsidRPr="000D1A08">
              <w:rPr>
                <w:rFonts w:ascii="Times New Roman" w:eastAsia="Cambria" w:hAnsi="Times New Roman" w:cs="Cambria"/>
                <w:b/>
                <w:bCs/>
                <w:color w:val="984806"/>
                <w:sz w:val="24"/>
                <w:szCs w:val="24"/>
                <w:u w:color="984806"/>
                <w:bdr w:val="nil"/>
                <w:lang w:val="de-DE"/>
              </w:rPr>
              <w:t>Surgical Stress Response and Cancer Recurrence</w:t>
            </w:r>
          </w:p>
        </w:tc>
      </w:tr>
      <w:tr w:rsidR="000D1A08" w:rsidRPr="000D1A08" w:rsidTr="00E3660B">
        <w:trPr>
          <w:trHeight w:val="2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b/>
                <w:bCs/>
                <w:color w:val="000000"/>
                <w:u w:color="000000"/>
                <w:bdr w:val="nil"/>
                <w:lang w:val="de-DE"/>
              </w:rPr>
              <w:t>AUTHOR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b/>
                <w:bCs/>
                <w:color w:val="000000"/>
                <w:u w:color="000000"/>
                <w:bdr w:val="nil"/>
                <w:lang w:val="de-DE"/>
              </w:rPr>
              <w:t>ANIMAL OR CELL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b/>
                <w:bCs/>
                <w:color w:val="000000"/>
                <w:u w:color="000000"/>
                <w:bdr w:val="nil"/>
                <w:lang w:val="de-DE"/>
              </w:rPr>
              <w:t>GRADE</w:t>
            </w:r>
          </w:p>
        </w:tc>
      </w:tr>
      <w:tr w:rsidR="000D1A08" w:rsidRPr="000D1A08" w:rsidTr="00E3660B">
        <w:trPr>
          <w:trHeight w:val="2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Piegeler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Strong</w:t>
            </w:r>
          </w:p>
        </w:tc>
      </w:tr>
      <w:tr w:rsidR="000D1A08" w:rsidRPr="000D1A08" w:rsidTr="00E3660B">
        <w:trPr>
          <w:trHeight w:val="2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Piegeler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Strong</w:t>
            </w:r>
          </w:p>
        </w:tc>
      </w:tr>
      <w:tr w:rsidR="000D1A08" w:rsidRPr="000D1A08" w:rsidTr="00E3660B">
        <w:trPr>
          <w:trHeight w:val="2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Iliopoulis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Strong</w:t>
            </w:r>
          </w:p>
        </w:tc>
      </w:tr>
      <w:tr w:rsidR="000D1A08" w:rsidRPr="000D1A08" w:rsidTr="00E3660B">
        <w:trPr>
          <w:trHeight w:val="2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Sodeur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Animal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Average</w:t>
            </w:r>
          </w:p>
        </w:tc>
      </w:tr>
    </w:tbl>
    <w:p w:rsidR="000D1A08" w:rsidRPr="000D1A08" w:rsidRDefault="000D1A08" w:rsidP="000D1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orgia" w:eastAsia="Georgia" w:hAnsi="Georgia" w:cs="Georgia"/>
          <w:b/>
          <w:bCs/>
          <w:color w:val="000000"/>
          <w:sz w:val="24"/>
          <w:szCs w:val="24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Default="000D1A08">
      <w:pPr>
        <w:rPr>
          <w:rFonts w:ascii="Cambria" w:eastAsia="Cambria" w:hAnsi="Cambria" w:cs="Cambria"/>
          <w:color w:val="000000"/>
          <w:u w:color="000000"/>
          <w:bdr w:val="nil"/>
        </w:rPr>
      </w:pPr>
      <w:r>
        <w:rPr>
          <w:rFonts w:ascii="Cambria" w:eastAsia="Cambria" w:hAnsi="Cambria" w:cs="Cambria"/>
          <w:color w:val="000000"/>
          <w:u w:color="000000"/>
          <w:bdr w:val="nil"/>
        </w:rPr>
        <w:br w:type="page"/>
      </w: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u w:color="000000"/>
          <w:bdr w:val="nil"/>
        </w:rPr>
      </w:pPr>
    </w:p>
    <w:tbl>
      <w:tblPr>
        <w:tblW w:w="9339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8"/>
        <w:gridCol w:w="2476"/>
        <w:gridCol w:w="627"/>
        <w:gridCol w:w="759"/>
        <w:gridCol w:w="837"/>
        <w:gridCol w:w="160"/>
        <w:gridCol w:w="979"/>
        <w:gridCol w:w="598"/>
        <w:gridCol w:w="706"/>
        <w:gridCol w:w="305"/>
        <w:gridCol w:w="1374"/>
      </w:tblGrid>
      <w:tr w:rsidR="000D1A08" w:rsidRPr="000D1A08" w:rsidTr="00E3660B">
        <w:trPr>
          <w:trHeight w:val="470"/>
        </w:trPr>
        <w:tc>
          <w:tcPr>
            <w:tcW w:w="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821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GRADE Evidence Ranking Worksheet</w:t>
            </w:r>
          </w:p>
        </w:tc>
      </w:tr>
      <w:tr w:rsidR="000D1A08" w:rsidRPr="000D1A08" w:rsidTr="00E3660B">
        <w:trPr>
          <w:trHeight w:val="479"/>
        </w:trPr>
        <w:tc>
          <w:tcPr>
            <w:tcW w:w="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821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 xml:space="preserve">SECTION: </w:t>
            </w:r>
            <w:r w:rsidRPr="000D1A08">
              <w:rPr>
                <w:rFonts w:ascii="Georgia" w:eastAsia="Calibri" w:hAnsi="Georgia" w:cs="Calibri"/>
                <w:b/>
                <w:bCs/>
                <w:color w:val="D05C12"/>
                <w:u w:color="D05C12"/>
                <w:bdr w:val="nil"/>
              </w:rPr>
              <w:t xml:space="preserve"> </w:t>
            </w:r>
            <w:r w:rsidRPr="000D1A08">
              <w:rPr>
                <w:rFonts w:ascii="Georgia" w:eastAsia="Calibri" w:hAnsi="Georgia" w:cs="Calibri"/>
                <w:b/>
                <w:bCs/>
                <w:color w:val="D05C12"/>
                <w:sz w:val="18"/>
                <w:szCs w:val="18"/>
                <w:u w:color="D05C12"/>
                <w:bdr w:val="nil"/>
              </w:rPr>
              <w:t>Analgesic techniques and influence on immunomodulation and immune cell function</w:t>
            </w:r>
          </w:p>
        </w:tc>
      </w:tr>
      <w:tr w:rsidR="000D1A08" w:rsidRPr="000D1A08" w:rsidTr="00E3660B">
        <w:trPr>
          <w:trHeight w:val="868"/>
        </w:trPr>
        <w:tc>
          <w:tcPr>
            <w:tcW w:w="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2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Publication</w:t>
            </w:r>
          </w:p>
        </w:tc>
        <w:tc>
          <w:tcPr>
            <w:tcW w:w="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Proof level</w:t>
            </w:r>
          </w:p>
        </w:tc>
        <w:tc>
          <w:tcPr>
            <w:tcW w:w="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Risk Benefit ratio</w:t>
            </w:r>
          </w:p>
        </w:tc>
        <w:tc>
          <w:tcPr>
            <w:tcW w:w="9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Directness</w:t>
            </w:r>
          </w:p>
        </w:tc>
        <w:tc>
          <w:tcPr>
            <w:tcW w:w="9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Critical or Important</w:t>
            </w:r>
          </w:p>
        </w:tc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Total</w:t>
            </w:r>
          </w:p>
        </w:tc>
        <w:tc>
          <w:tcPr>
            <w:tcW w:w="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Type</w:t>
            </w:r>
          </w:p>
        </w:tc>
        <w:tc>
          <w:tcPr>
            <w:tcW w:w="16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Summary</w:t>
            </w:r>
          </w:p>
        </w:tc>
      </w:tr>
      <w:tr w:rsidR="000D1A08" w:rsidRPr="000D1A08" w:rsidTr="00E3660B">
        <w:trPr>
          <w:trHeight w:val="715"/>
        </w:trPr>
        <w:tc>
          <w:tcPr>
            <w:tcW w:w="29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bdr w:val="nil"/>
              </w:rPr>
              <w:t>+6 to -7</w:t>
            </w:r>
          </w:p>
        </w:tc>
        <w:tc>
          <w:tcPr>
            <w:tcW w:w="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bdr w:val="nil"/>
              </w:rPr>
              <w:t>+2 to -1</w:t>
            </w:r>
          </w:p>
        </w:tc>
        <w:tc>
          <w:tcPr>
            <w:tcW w:w="9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bdr w:val="nil"/>
              </w:rPr>
              <w:t>+2  or 0</w:t>
            </w:r>
          </w:p>
        </w:tc>
        <w:tc>
          <w:tcPr>
            <w:tcW w:w="9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bdr w:val="nil"/>
              </w:rPr>
              <w:t>+3 to +1</w:t>
            </w:r>
          </w:p>
        </w:tc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:bdr w:val="nil"/>
              </w:rPr>
              <w:t>13 max</w:t>
            </w:r>
          </w:p>
        </w:tc>
        <w:tc>
          <w:tcPr>
            <w:tcW w:w="238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D1A08" w:rsidRPr="000D1A08" w:rsidTr="00E3660B">
        <w:trPr>
          <w:trHeight w:val="2294"/>
        </w:trPr>
        <w:tc>
          <w:tcPr>
            <w:tcW w:w="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2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Tie J, Wang Y et al: Circulating tumor DNA analysis detects minimal residual disease and predicts recurrence in patients with stage II colon cancer.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Sci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Transl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Med 2016; 8: 346ra92</w:t>
            </w:r>
          </w:p>
        </w:tc>
        <w:tc>
          <w:tcPr>
            <w:tcW w:w="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6</w:t>
            </w:r>
          </w:p>
        </w:tc>
        <w:tc>
          <w:tcPr>
            <w:tcW w:w="10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P-cohort</w:t>
            </w:r>
          </w:p>
        </w:tc>
        <w:tc>
          <w:tcPr>
            <w:tcW w:w="13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WEAK FOR NOT USING</w:t>
            </w:r>
          </w:p>
        </w:tc>
      </w:tr>
      <w:tr w:rsidR="000D1A08" w:rsidRPr="000D1A08" w:rsidTr="00E3660B">
        <w:trPr>
          <w:trHeight w:val="2599"/>
        </w:trPr>
        <w:tc>
          <w:tcPr>
            <w:tcW w:w="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2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Koltun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WA, Bloomer MM,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Tilberg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AF, Seaton JF,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Ilahi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O, Rung G, Gifford RM, Kauffman GL, Jr.: Awake epidural anesthesia is associated with improved natural killer cell cytotoxicity and a reduced stress response. Am J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Surg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1996; 171: 68-72; discussion 72-3</w:t>
            </w:r>
          </w:p>
        </w:tc>
        <w:tc>
          <w:tcPr>
            <w:tcW w:w="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0</w:t>
            </w:r>
          </w:p>
        </w:tc>
        <w:tc>
          <w:tcPr>
            <w:tcW w:w="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7</w:t>
            </w:r>
          </w:p>
        </w:tc>
        <w:tc>
          <w:tcPr>
            <w:tcW w:w="10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P-cohort</w:t>
            </w:r>
          </w:p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Humans</w:t>
            </w:r>
          </w:p>
        </w:tc>
        <w:tc>
          <w:tcPr>
            <w:tcW w:w="13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WEAK FOR USING</w:t>
            </w:r>
          </w:p>
        </w:tc>
      </w:tr>
      <w:tr w:rsidR="000D1A08" w:rsidRPr="000D1A08" w:rsidTr="00E3660B">
        <w:trPr>
          <w:trHeight w:val="2599"/>
        </w:trPr>
        <w:tc>
          <w:tcPr>
            <w:tcW w:w="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2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Koda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K, Saito N,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Takiguchi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N,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Oda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K,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Nunomura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M, Nakajima N: Preoperative natural killer cell activity: Correlation with distant metastases in curatively research colorectal carcinomas. International Surgery 1997; 82: 190-193</w:t>
            </w:r>
          </w:p>
        </w:tc>
        <w:tc>
          <w:tcPr>
            <w:tcW w:w="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-3</w:t>
            </w:r>
          </w:p>
        </w:tc>
        <w:tc>
          <w:tcPr>
            <w:tcW w:w="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Prospect</w:t>
            </w:r>
          </w:p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Humans</w:t>
            </w:r>
          </w:p>
        </w:tc>
        <w:tc>
          <w:tcPr>
            <w:tcW w:w="13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STRONG FOR NOT USING</w:t>
            </w:r>
          </w:p>
        </w:tc>
      </w:tr>
      <w:tr w:rsidR="000D1A08" w:rsidRPr="000D1A08" w:rsidTr="00E3660B">
        <w:trPr>
          <w:trHeight w:val="1652"/>
        </w:trPr>
        <w:tc>
          <w:tcPr>
            <w:tcW w:w="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2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Fujisawa T, Yamaguchi Y: Autologous tumor killing activity as a prognostic factor in primary resected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nonsmall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cell carcinoma of the lung. Cancer 1997; 79: 474-81</w:t>
            </w:r>
          </w:p>
        </w:tc>
        <w:tc>
          <w:tcPr>
            <w:tcW w:w="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-4</w:t>
            </w:r>
          </w:p>
        </w:tc>
        <w:tc>
          <w:tcPr>
            <w:tcW w:w="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Prospect</w:t>
            </w:r>
          </w:p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Humans</w:t>
            </w:r>
          </w:p>
        </w:tc>
        <w:tc>
          <w:tcPr>
            <w:tcW w:w="13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STRONG FOR NOT USING</w:t>
            </w:r>
          </w:p>
        </w:tc>
      </w:tr>
      <w:tr w:rsidR="000D1A08" w:rsidRPr="000D1A08" w:rsidTr="00E3660B">
        <w:trPr>
          <w:trHeight w:val="2362"/>
        </w:trPr>
        <w:tc>
          <w:tcPr>
            <w:tcW w:w="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2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Yeager MP,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Procopio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MA,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DeLeo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JA,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Arruda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JL, Hildebrandt L, Howell AL: Intravenous fentanyl increases natural killer cell cytotoxicity and circulating CD16(+) lymphocytes in humans.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Anesth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Analg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2002; 94: 94-9, table of contents</w:t>
            </w:r>
          </w:p>
        </w:tc>
        <w:tc>
          <w:tcPr>
            <w:tcW w:w="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7</w:t>
            </w:r>
          </w:p>
        </w:tc>
        <w:tc>
          <w:tcPr>
            <w:tcW w:w="10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P. Cohort</w:t>
            </w:r>
          </w:p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Humans</w:t>
            </w:r>
          </w:p>
        </w:tc>
        <w:tc>
          <w:tcPr>
            <w:tcW w:w="13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WEAK FOR USING</w:t>
            </w:r>
          </w:p>
        </w:tc>
      </w:tr>
      <w:tr w:rsidR="000D1A08" w:rsidRPr="000D1A08" w:rsidTr="00E3660B">
        <w:trPr>
          <w:trHeight w:val="2362"/>
        </w:trPr>
        <w:tc>
          <w:tcPr>
            <w:tcW w:w="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2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Sacerdote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P, Bianchi M,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Gaspani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L,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Manfredi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B,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Maucione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A,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Terno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G,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Ammatuna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M,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Panerai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AE: The effects of tramadol and morphine on immune responses and pain after surgery in cancer patients.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Anesth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Analg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2000; 90: 1411-4</w:t>
            </w:r>
          </w:p>
        </w:tc>
        <w:tc>
          <w:tcPr>
            <w:tcW w:w="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-3</w:t>
            </w:r>
          </w:p>
        </w:tc>
        <w:tc>
          <w:tcPr>
            <w:tcW w:w="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P- cohort</w:t>
            </w:r>
          </w:p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Humans</w:t>
            </w:r>
          </w:p>
        </w:tc>
        <w:tc>
          <w:tcPr>
            <w:tcW w:w="13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STRONG FOR NOT USING</w:t>
            </w:r>
          </w:p>
        </w:tc>
      </w:tr>
      <w:tr w:rsidR="000D1A08" w:rsidRPr="000D1A08" w:rsidTr="00E3660B">
        <w:trPr>
          <w:trHeight w:val="2599"/>
        </w:trPr>
        <w:tc>
          <w:tcPr>
            <w:tcW w:w="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2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Deegan CA, Murray D, Doran P, Moriarty DC,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Sessler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DI,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Mascha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E, Kavanagh BP, Buggy DJ: Anesthetic technique and the cytokine and matrix metalloproteinase response to primary breast cancer surgery.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Reg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Anesth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Pain Med 2010; 35: 490-5</w:t>
            </w:r>
          </w:p>
        </w:tc>
        <w:tc>
          <w:tcPr>
            <w:tcW w:w="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9</w:t>
            </w:r>
          </w:p>
        </w:tc>
        <w:tc>
          <w:tcPr>
            <w:tcW w:w="10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Prospect</w:t>
            </w:r>
          </w:p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Random</w:t>
            </w:r>
          </w:p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Humans</w:t>
            </w:r>
          </w:p>
        </w:tc>
        <w:tc>
          <w:tcPr>
            <w:tcW w:w="13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STRONG FOR USING</w:t>
            </w:r>
          </w:p>
        </w:tc>
      </w:tr>
      <w:tr w:rsidR="000D1A08" w:rsidRPr="000D1A08" w:rsidTr="00E3660B">
        <w:trPr>
          <w:trHeight w:val="2362"/>
        </w:trPr>
        <w:tc>
          <w:tcPr>
            <w:tcW w:w="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2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Wang XT,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Lv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M,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Guo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HY: Effects of epidural block combined with general anesthesia on antitumor characteristics of T helper cells in hepatocellular carcinoma patients. J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Biol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Regul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Homeost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Agents 2016; 30: 67-77</w:t>
            </w:r>
          </w:p>
        </w:tc>
        <w:tc>
          <w:tcPr>
            <w:tcW w:w="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Prospect</w:t>
            </w:r>
          </w:p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Humans</w:t>
            </w:r>
          </w:p>
        </w:tc>
        <w:tc>
          <w:tcPr>
            <w:tcW w:w="13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STRONG FOR USING</w:t>
            </w:r>
          </w:p>
        </w:tc>
      </w:tr>
      <w:tr w:rsidR="000D1A08" w:rsidRPr="000D1A08" w:rsidTr="00E3660B">
        <w:trPr>
          <w:trHeight w:val="3072"/>
        </w:trPr>
        <w:tc>
          <w:tcPr>
            <w:tcW w:w="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2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Dong H, Zhang Y, Xi H: The Effects of Epidural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Anaesthesia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and Analgesia on Natural Killer Cell Cytotoxicity and Cytokine Response in Patients with Epithelial Ovarian Cancer Undergoing Radical Resection. Journal of International Medical Research 2012; 40: 1822-1829</w:t>
            </w:r>
          </w:p>
        </w:tc>
        <w:tc>
          <w:tcPr>
            <w:tcW w:w="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Prospect</w:t>
            </w:r>
          </w:p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Humans</w:t>
            </w:r>
          </w:p>
        </w:tc>
        <w:tc>
          <w:tcPr>
            <w:tcW w:w="13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STRONG FOR USING</w:t>
            </w:r>
          </w:p>
        </w:tc>
      </w:tr>
      <w:tr w:rsidR="000D1A08" w:rsidRPr="000D1A08" w:rsidTr="00E3660B">
        <w:trPr>
          <w:trHeight w:val="2836"/>
        </w:trPr>
        <w:tc>
          <w:tcPr>
            <w:tcW w:w="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2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Li JM, Shao JL, Zeng WJ, Liang RB: General/epidural anesthesia in combination preserves NK cell activity and affects cytokine response in cervical carcinoma patients undergoing radical resection: a cohort prospective study.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Eur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J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Gynaecol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Oncol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2015; 36: 703-7</w:t>
            </w:r>
          </w:p>
        </w:tc>
        <w:tc>
          <w:tcPr>
            <w:tcW w:w="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9</w:t>
            </w:r>
          </w:p>
        </w:tc>
        <w:tc>
          <w:tcPr>
            <w:tcW w:w="10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Prospect</w:t>
            </w:r>
          </w:p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Humans</w:t>
            </w:r>
          </w:p>
        </w:tc>
        <w:tc>
          <w:tcPr>
            <w:tcW w:w="13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STRONG FOR USING</w:t>
            </w:r>
          </w:p>
        </w:tc>
      </w:tr>
      <w:tr w:rsidR="000D1A08" w:rsidRPr="000D1A08" w:rsidTr="00E3660B">
        <w:trPr>
          <w:trHeight w:val="4188"/>
        </w:trPr>
        <w:tc>
          <w:tcPr>
            <w:tcW w:w="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2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Purdy M,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Kokki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M,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Anttila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M,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Aspinen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S, Juvonen P,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Korhonen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R,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Selander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T,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Kokki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H,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Eskelinen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M: Does the Rectus Sheath Block Analgesia Reduce the Inflammatory Response Biomarkers' IL-1ra, IL-6, IL-8, IL-10 and IL-1beta Concentrations Following Surgery? A Randomized Clinical Trial of Patients with Cancer and Benign Disease. Anticancer Res 2016; 36: 3005-11</w:t>
            </w:r>
          </w:p>
        </w:tc>
        <w:tc>
          <w:tcPr>
            <w:tcW w:w="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-3</w:t>
            </w:r>
          </w:p>
        </w:tc>
        <w:tc>
          <w:tcPr>
            <w:tcW w:w="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Prospect</w:t>
            </w:r>
          </w:p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Human</w:t>
            </w:r>
          </w:p>
        </w:tc>
        <w:tc>
          <w:tcPr>
            <w:tcW w:w="13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STRONG FOR NOT USING</w:t>
            </w:r>
          </w:p>
        </w:tc>
      </w:tr>
      <w:tr w:rsidR="000D1A08" w:rsidRPr="000D1A08" w:rsidTr="00E3660B">
        <w:trPr>
          <w:trHeight w:val="2125"/>
        </w:trPr>
        <w:tc>
          <w:tcPr>
            <w:tcW w:w="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2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Yardeni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IZ,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Beilin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B,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Mayburd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E, Levinson Y,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Bessler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H: The Effect of Perioperative Intravenous Lidocaine on Postoperative Pain and Immune Function. Anesthesia and Analgesia 2009; 109: 1464-1469</w:t>
            </w:r>
          </w:p>
        </w:tc>
        <w:tc>
          <w:tcPr>
            <w:tcW w:w="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9</w:t>
            </w:r>
          </w:p>
        </w:tc>
        <w:tc>
          <w:tcPr>
            <w:tcW w:w="10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Prospect</w:t>
            </w:r>
          </w:p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Humans</w:t>
            </w:r>
          </w:p>
        </w:tc>
        <w:tc>
          <w:tcPr>
            <w:tcW w:w="13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STRONG FOR USING</w:t>
            </w:r>
          </w:p>
        </w:tc>
      </w:tr>
      <w:tr w:rsidR="000D1A08" w:rsidRPr="000D1A08" w:rsidTr="00E3660B">
        <w:trPr>
          <w:trHeight w:val="2599"/>
        </w:trPr>
        <w:tc>
          <w:tcPr>
            <w:tcW w:w="5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24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Beilin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B,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Rusabrov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Y,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Shapira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Y,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Roytblat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L,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Greemberg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L,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Yardeni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IZ,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Bessler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H: Low-dose ketamine affects immune responses in humans during the early postoperative period. British Journal of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Anaesthesia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2007; 99: 522-527</w:t>
            </w:r>
          </w:p>
        </w:tc>
        <w:tc>
          <w:tcPr>
            <w:tcW w:w="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0</w:t>
            </w:r>
          </w:p>
        </w:tc>
        <w:tc>
          <w:tcPr>
            <w:tcW w:w="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8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6</w:t>
            </w:r>
          </w:p>
        </w:tc>
        <w:tc>
          <w:tcPr>
            <w:tcW w:w="10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Prospect</w:t>
            </w:r>
          </w:p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Humans</w:t>
            </w:r>
          </w:p>
        </w:tc>
        <w:tc>
          <w:tcPr>
            <w:tcW w:w="13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bdr w:val="nil"/>
              </w:rPr>
              <w:t>WEAK FOR NOT USING</w:t>
            </w:r>
          </w:p>
        </w:tc>
      </w:tr>
    </w:tbl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Default="000D1A08">
      <w:pPr>
        <w:rPr>
          <w:rFonts w:ascii="Cambria" w:eastAsia="Cambria" w:hAnsi="Cambria" w:cs="Cambria"/>
          <w:color w:val="000000"/>
          <w:u w:color="000000"/>
          <w:bdr w:val="nil"/>
        </w:rPr>
      </w:pPr>
      <w:r>
        <w:rPr>
          <w:rFonts w:ascii="Cambria" w:eastAsia="Cambria" w:hAnsi="Cambria" w:cs="Cambria"/>
          <w:color w:val="000000"/>
          <w:u w:color="000000"/>
          <w:bdr w:val="nil"/>
        </w:rPr>
        <w:br w:type="page"/>
      </w: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u w:color="000000"/>
          <w:bdr w:val="nil"/>
        </w:rPr>
      </w:pPr>
    </w:p>
    <w:tbl>
      <w:tblPr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5"/>
        <w:gridCol w:w="3729"/>
        <w:gridCol w:w="2562"/>
        <w:gridCol w:w="2253"/>
      </w:tblGrid>
      <w:tr w:rsidR="000D1A08" w:rsidRPr="000D1A08" w:rsidTr="00E3660B">
        <w:trPr>
          <w:trHeight w:val="298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SECTION: </w:t>
            </w:r>
            <w:r w:rsidRPr="000D1A08">
              <w:rPr>
                <w:rFonts w:ascii="Georgia" w:eastAsia="Calibri" w:hAnsi="Georgia" w:cs="Calibri"/>
                <w:b/>
                <w:bCs/>
                <w:color w:val="D05C12"/>
                <w:sz w:val="18"/>
                <w:szCs w:val="18"/>
                <w:u w:color="D05C12"/>
                <w:bdr w:val="nil"/>
              </w:rPr>
              <w:t>Analgesic techniques and influence on immunomodulation and immune cell function</w:t>
            </w:r>
          </w:p>
        </w:tc>
      </w:tr>
      <w:tr w:rsidR="000D1A08" w:rsidRPr="000D1A08" w:rsidTr="00E3660B">
        <w:trPr>
          <w:trHeight w:val="37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</w:rPr>
              <w:t>REF #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</w:rPr>
              <w:t>AUTHOR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</w:rPr>
              <w:t>ANIMAL OR 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</w:rPr>
              <w:t>GRADE</w:t>
            </w:r>
          </w:p>
        </w:tc>
      </w:tr>
      <w:tr w:rsidR="000D1A08" w:rsidRPr="000D1A08" w:rsidTr="00E3660B">
        <w:trPr>
          <w:trHeight w:val="132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Kim SY, Kang JW, Song X, Kim BK,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Yoo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YD, Kwon YT, Lee YJ: Role of the IL-6-JAK1-STAT3-Oct-4 pathway in the conversion of non-stem cancer cells into cancer stem-like cells. Cell Signal 2013; 25: 961-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 Study/Xenograft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110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Pollock RE,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Lotzova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E: Surgical-stress-related suppression of natural killer cell activity: a possible role in tumor metastasis. Nat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Immun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Cell Growth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Regul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1987; 6: 269-78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In Vivo Animal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88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Pollock RE,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Lotzova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E, Stanford SD,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Romsdahl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MM: Effect of surgical stress on murine natural killer cell cytotoxicity. J 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Immunol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1987; 138: 171-8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In Vivo Animal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113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Page GG, Blakely WP, Ben-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Eliyahu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S: Evidence that postoperative pain is a mediator of the tumor-promoting effects of surgery in rats. Pain 2001; 90: 191-9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In Vivo Animal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Strong</w:t>
            </w:r>
          </w:p>
        </w:tc>
      </w:tr>
      <w:tr w:rsidR="000D1A08" w:rsidRPr="000D1A08" w:rsidTr="00E3660B">
        <w:trPr>
          <w:trHeight w:val="157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Shavit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Y, Martin FC,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Yirmiya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R, Ben-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Eliyahu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S,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Terman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GW, Weiner H, Gale RP,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Liebeskind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JC: Effects of a single administration of morphine or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footshock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stress on natural killer cell cytotoxicity. Brain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Behav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Immun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1987; 1: 318-28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In Vivo In  Animal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154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Shavit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Y,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Terman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GW, Lewis JW, Zane CJ, Gale RP,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Liebeskind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JC: Effects of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footshock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stress and morphine on natural killer lymphocytes in rats: studies of tolerance and cross-tolerance. Brain Res 1986; 372: 382-5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In Vivo Animal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132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Sood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AK,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Bhatty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R,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Kamat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AA, Landen CN, Han L,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Thaker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PH, Li Y,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Gershenson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DM,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Lutgendorf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S, Cole SW: Stress hormone-mediated invasion of ovarian cancer cells.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Clin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Cancer Res 2006; 12: 369-75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 Study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198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Yang EV, Kim SJ, Donovan EL, Chen M, Gross AC, Webster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Marketon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JI,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Barsky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SH, Glaser R: Norepinephrine upregulates VEGF, IL-8, and IL-6 expression in human melanoma tumor cell lines: implications for stress-related enhancement of tumor progression. Brain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Behav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Immun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2009; 23: 267-75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 Study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17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010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Franchi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S,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Panerai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AE,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Sacerdote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P: Buprenorphine ameliorates the effect of surgery on hypothalamus-pituitary-adrenal axis, natural killer cell activity and metastatic colonization in rats in comparison with morphine or fentanyl treatment. Brain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Behav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Immun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2007; 21: 767-74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In Vivo Animal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Strong</w:t>
            </w:r>
          </w:p>
        </w:tc>
      </w:tr>
      <w:tr w:rsidR="000D1A08" w:rsidRPr="000D1A08" w:rsidTr="00E3660B">
        <w:trPr>
          <w:trHeight w:val="154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Wada H, Seki S, Takahashi T,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Kawarabayashi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N, Higuchi H,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Habu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Y,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Sugahara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S,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Kazama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T: Combined spinal and general anesthesia attenuates liver metastasis by preserving TH1/TH2 cytokine balance. Anesthesiology 2007; 106: 499-506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In Vivo Animal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Strong</w:t>
            </w:r>
          </w:p>
        </w:tc>
      </w:tr>
      <w:tr w:rsidR="000D1A08" w:rsidRPr="000D1A08" w:rsidTr="00E3660B">
        <w:trPr>
          <w:trHeight w:val="110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Ramirez MF, Tran P,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Cata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JP: The effect of clinically therapeutic plasma concentrations of lidocaine on natural killer cell cytotoxicity.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Reg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Anesth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Pain Med 2015; 40: 43-8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 Study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</w:tbl>
    <w:p w:rsidR="000D1A08" w:rsidRPr="000D1A08" w:rsidRDefault="000D1A08" w:rsidP="000D1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u w:color="000000"/>
          <w:bdr w:val="nil"/>
        </w:rPr>
      </w:pPr>
      <w:r w:rsidRPr="000D1A08">
        <w:rPr>
          <w:rFonts w:ascii="Cambria" w:eastAsia="Cambria" w:hAnsi="Cambria" w:cs="Cambria"/>
          <w:bdr w:val="nil"/>
        </w:rPr>
        <w:br w:type="page"/>
      </w: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u w:color="000000"/>
          <w:bdr w:val="nil"/>
        </w:rPr>
      </w:pPr>
    </w:p>
    <w:tbl>
      <w:tblPr>
        <w:tblW w:w="103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0"/>
        <w:gridCol w:w="3228"/>
        <w:gridCol w:w="768"/>
        <w:gridCol w:w="767"/>
        <w:gridCol w:w="741"/>
        <w:gridCol w:w="160"/>
        <w:gridCol w:w="860"/>
        <w:gridCol w:w="543"/>
        <w:gridCol w:w="543"/>
        <w:gridCol w:w="2178"/>
      </w:tblGrid>
      <w:tr w:rsidR="000D1A08" w:rsidRPr="000D1A08" w:rsidTr="00E3660B">
        <w:trPr>
          <w:trHeight w:val="328"/>
        </w:trPr>
        <w:tc>
          <w:tcPr>
            <w:tcW w:w="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9788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GRADE Evidence Ranking Worksheet</w:t>
            </w:r>
          </w:p>
        </w:tc>
      </w:tr>
      <w:tr w:rsidR="000D1A08" w:rsidRPr="000D1A08" w:rsidTr="00E3660B">
        <w:trPr>
          <w:trHeight w:val="328"/>
        </w:trPr>
        <w:tc>
          <w:tcPr>
            <w:tcW w:w="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9788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SECTION: Opioids and Cancer</w:t>
            </w:r>
          </w:p>
        </w:tc>
      </w:tr>
      <w:tr w:rsidR="000D1A08" w:rsidRPr="000D1A08" w:rsidTr="00E3660B">
        <w:trPr>
          <w:trHeight w:val="812"/>
        </w:trPr>
        <w:tc>
          <w:tcPr>
            <w:tcW w:w="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Publication</w:t>
            </w:r>
          </w:p>
        </w:tc>
        <w:tc>
          <w:tcPr>
            <w:tcW w:w="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Proof level</w:t>
            </w:r>
          </w:p>
        </w:tc>
        <w:tc>
          <w:tcPr>
            <w:tcW w:w="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Risk Benefit ratio</w:t>
            </w:r>
          </w:p>
        </w:tc>
        <w:tc>
          <w:tcPr>
            <w:tcW w:w="9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Directness</w:t>
            </w: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Critical or Important</w:t>
            </w:r>
          </w:p>
        </w:tc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Total</w:t>
            </w:r>
          </w:p>
        </w:tc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Type</w:t>
            </w:r>
          </w:p>
        </w:tc>
        <w:tc>
          <w:tcPr>
            <w:tcW w:w="21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Summary</w:t>
            </w:r>
          </w:p>
        </w:tc>
      </w:tr>
      <w:tr w:rsidR="000D1A08" w:rsidRPr="000D1A08" w:rsidTr="00E3660B">
        <w:trPr>
          <w:trHeight w:val="672"/>
        </w:trPr>
        <w:tc>
          <w:tcPr>
            <w:tcW w:w="38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+6 to -7</w:t>
            </w:r>
          </w:p>
        </w:tc>
        <w:tc>
          <w:tcPr>
            <w:tcW w:w="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+2 to -1</w:t>
            </w:r>
          </w:p>
        </w:tc>
        <w:tc>
          <w:tcPr>
            <w:tcW w:w="9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+2  or 0</w:t>
            </w: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+3 to +1</w:t>
            </w:r>
          </w:p>
        </w:tc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13 max</w:t>
            </w:r>
          </w:p>
        </w:tc>
        <w:tc>
          <w:tcPr>
            <w:tcW w:w="2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D1A08" w:rsidRPr="000D1A08" w:rsidTr="00E3660B">
        <w:trPr>
          <w:trHeight w:val="1451"/>
        </w:trPr>
        <w:tc>
          <w:tcPr>
            <w:tcW w:w="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Yokota T, Uehara K,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Nomoto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 Y. Intrathecal morphine suppresses NK cell activity following abdominal surgery. Can J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Anaesth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2000;47:303</w:t>
            </w:r>
            <w:proofErr w:type="gram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-8. Grade: 6</w:t>
            </w:r>
          </w:p>
        </w:tc>
        <w:tc>
          <w:tcPr>
            <w:tcW w:w="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6</w:t>
            </w:r>
          </w:p>
        </w:tc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D1A08" w:rsidRPr="000D1A08" w:rsidTr="00E3660B">
        <w:trPr>
          <w:trHeight w:val="1451"/>
        </w:trPr>
        <w:tc>
          <w:tcPr>
            <w:tcW w:w="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70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Tabellini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 G,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Borsani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 E,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Benassi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 M, et al. Effects of opioid therapy on human natural killer cells.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Int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Immunopharmacol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2014;18:169</w:t>
            </w:r>
            <w:proofErr w:type="gram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-74. Grade: 6</w:t>
            </w:r>
          </w:p>
        </w:tc>
        <w:tc>
          <w:tcPr>
            <w:tcW w:w="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6</w:t>
            </w:r>
          </w:p>
        </w:tc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D1A08" w:rsidRPr="000D1A08" w:rsidTr="00E3660B">
        <w:trPr>
          <w:trHeight w:val="1691"/>
        </w:trPr>
        <w:tc>
          <w:tcPr>
            <w:tcW w:w="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4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Yeager MP,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Colacchio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 TA, Yu CT, et al. Morphine inhibits spontaneous and cytokine-enhanced natural killer cell cytotoxicity in volunteers. Anesthesiology </w:t>
            </w:r>
            <w:proofErr w:type="gram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1995;83:500</w:t>
            </w:r>
            <w:proofErr w:type="gram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-8. Grade 6</w:t>
            </w:r>
          </w:p>
        </w:tc>
        <w:tc>
          <w:tcPr>
            <w:tcW w:w="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6</w:t>
            </w:r>
          </w:p>
        </w:tc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1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u w:color="000000"/>
          <w:bdr w:val="nil"/>
        </w:rPr>
      </w:pPr>
      <w:r w:rsidRPr="000D1A08">
        <w:rPr>
          <w:rFonts w:ascii="Times New Roman" w:eastAsia="Arial Unicode MS" w:hAnsi="Times New Roman" w:cs="Times New Roman"/>
          <w:sz w:val="24"/>
          <w:szCs w:val="24"/>
          <w:bdr w:val="nil"/>
        </w:rPr>
        <w:br w:type="page"/>
      </w:r>
    </w:p>
    <w:tbl>
      <w:tblPr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5"/>
        <w:gridCol w:w="3729"/>
        <w:gridCol w:w="2562"/>
        <w:gridCol w:w="2253"/>
      </w:tblGrid>
      <w:tr w:rsidR="000D1A08" w:rsidRPr="000D1A08" w:rsidTr="00E3660B">
        <w:trPr>
          <w:trHeight w:val="298"/>
        </w:trPr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lastRenderedPageBreak/>
              <w:t xml:space="preserve">SECTION: </w:t>
            </w:r>
            <w:r w:rsidRPr="000D1A08">
              <w:rPr>
                <w:rFonts w:ascii="Georgia" w:eastAsia="Calibri" w:hAnsi="Georgia" w:cs="Calibri"/>
                <w:b/>
                <w:bCs/>
                <w:color w:val="D05C12"/>
                <w:sz w:val="18"/>
                <w:szCs w:val="18"/>
                <w:u w:color="D05C12"/>
                <w:bdr w:val="nil"/>
              </w:rPr>
              <w:t>Opioids and Cancer</w:t>
            </w:r>
          </w:p>
        </w:tc>
      </w:tr>
      <w:tr w:rsidR="000D1A08" w:rsidRPr="000D1A08" w:rsidTr="00E3660B">
        <w:trPr>
          <w:trHeight w:val="37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</w:rPr>
              <w:t>AUTHOR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</w:rPr>
              <w:t>ANIMAL OR 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</w:rPr>
              <w:t>GRADE</w:t>
            </w:r>
          </w:p>
        </w:tc>
      </w:tr>
      <w:tr w:rsidR="000D1A08" w:rsidRPr="000D1A08" w:rsidTr="00E3660B">
        <w:trPr>
          <w:trHeight w:val="110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Page GG, Blakely WP, Ben-</w:t>
            </w:r>
            <w:proofErr w:type="spellStart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>Eliyahu</w:t>
            </w:r>
            <w:proofErr w:type="spellEnd"/>
            <w:r w:rsidRPr="000D1A08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  <w:bdr w:val="nil"/>
              </w:rPr>
              <w:t xml:space="preserve"> S. Evidence that postoperative pain is a mediator of the tumor-promoting effects of surgery in rats. Pain 2001;90:191-9.Grade: strong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ANIMAL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STRONG</w:t>
            </w:r>
          </w:p>
        </w:tc>
      </w:tr>
      <w:tr w:rsidR="000D1A08" w:rsidRPr="000D1A08" w:rsidTr="00E3660B">
        <w:trPr>
          <w:trHeight w:val="88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Lennon FE, Moss J, Singleton PA. The mu-opioid receptor in cancer progression: is there a direct effect? Anesthesiology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2012;116:940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-5. Grade: average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0D1A08">
              <w:rPr>
                <w:rFonts w:ascii="Calibri" w:eastAsia="Arial Unicode MS" w:hAnsi="Calibri" w:cs="Times New Roman"/>
                <w:bdr w:val="nil"/>
              </w:rPr>
              <w:t>REVIEW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110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Gach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K,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Wyrebska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A,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Fichna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J,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Janecka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A. The role of morphine in regulation of cancer cell growth.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Naunyn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Schmiedebergs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Arch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Pharmacol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2011;384:221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-30. Grade: weak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WEAK</w:t>
            </w:r>
          </w:p>
        </w:tc>
      </w:tr>
      <w:tr w:rsidR="000D1A08" w:rsidRPr="000D1A08" w:rsidTr="00E3660B">
        <w:trPr>
          <w:trHeight w:val="110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Borner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C,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Stumm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R,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Hollt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V, Kraus J. Comparative analysis of mu-opioid receptor expression in immune and neuronal cells. J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Neuroimmunol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2007;188:56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-63. Grade: weak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WEAK</w:t>
            </w:r>
          </w:p>
        </w:tc>
      </w:tr>
      <w:tr w:rsidR="000D1A08" w:rsidRPr="000D1A08" w:rsidTr="00E3660B">
        <w:trPr>
          <w:trHeight w:val="6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Kraus J. Regulation of mu-opioid receptors by cytokines. Front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Biosci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(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Schol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Ed)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2009;1:164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-70. Grade: weak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WEAK</w:t>
            </w:r>
          </w:p>
        </w:tc>
      </w:tr>
      <w:tr w:rsidR="000D1A08" w:rsidRPr="000D1A08" w:rsidTr="00E3660B">
        <w:trPr>
          <w:trHeight w:val="110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Snyder GL, Greenberg S. Effect of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anaesthetic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technique and other perioperative factors on cancer recurrence. Br J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Anaesth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2010;105:106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-15. Grade: weak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Times New Roman"/>
                <w:bdr w:val="nil"/>
              </w:rPr>
            </w:pPr>
            <w:r w:rsidRPr="000D1A08">
              <w:rPr>
                <w:rFonts w:ascii="Calibri" w:eastAsia="Arial Unicode MS" w:hAnsi="Calibri" w:cs="Times New Roman"/>
                <w:bdr w:val="nil"/>
              </w:rPr>
              <w:t>REVIEW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WEAK</w:t>
            </w:r>
          </w:p>
        </w:tc>
      </w:tr>
      <w:tr w:rsidR="000D1A08" w:rsidRPr="000D1A08" w:rsidTr="00E3660B">
        <w:trPr>
          <w:trHeight w:val="132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Sacerdote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P,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Manfredi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B,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Mantegazza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P,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Panerai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AE.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Antinociceptive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and immunosuppressive effects of opiate drugs: a structure-related activity study. Br J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Pharmacol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1997;121:834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-40. Grade: average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0D1A08">
              <w:rPr>
                <w:rFonts w:ascii="Calibri" w:eastAsia="Arial Unicode MS" w:hAnsi="Calibri" w:cs="Times New Roman"/>
                <w:bdr w:val="nil"/>
              </w:rPr>
              <w:t>ANIMAL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154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Bonnet MP, Beloeil H,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Benhamou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D,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Mazoit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JX,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Asehnoune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K. The mu opioid receptor mediates morphine-induced tumor necrosis factor and interleukin-6 inhibition in toll-like receptor 2-stimulated monocytes.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Anesth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Analg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2008;106:1142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-9. Grade: average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132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Roy S, Wang J,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Charboneau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R,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Loh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HH,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Barke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RA. Morphine induces CD4+ T cell IL-4 expression through an adenylyl cyclase mechanism independent of the protein kinase A pathway. J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Immunol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2005;175:6361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-7. Grade: average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88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Borner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C,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Warnick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B,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Smida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M, et al. Mechanisms of opioid-mediated inhibition of human T cell receptor signaling. J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Immunol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2009;183:882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-9. Grade: weak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WEAK</w:t>
            </w:r>
          </w:p>
        </w:tc>
      </w:tr>
      <w:tr w:rsidR="000D1A08" w:rsidRPr="000D1A08" w:rsidTr="00E3660B">
        <w:trPr>
          <w:trHeight w:val="110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Scott M,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Carr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DJ. Morphine suppresses the alloantigen-driven CTL response in a dose-dependent and naltrexone reversible manner. J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Pharmacol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Exp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Ther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1996;278:980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-8. Grade: average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132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Zhang EY,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Xiong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J, Parker BL, et al. Depletion and recovery of lymphoid subsets following morphine administration. Br J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Pharmacol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2011;164:1829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-44. Grade: average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132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Fuggetta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MP, Di Francesco P,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Falchetti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R, et al. Effect of morphine on cell-mediated immune responses of human lymphocytes against allogeneic malignant cells. J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Exp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Clin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Cancer Res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2005;24:255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-63. Grade: weak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WEAK</w:t>
            </w:r>
          </w:p>
        </w:tc>
      </w:tr>
      <w:tr w:rsidR="000D1A08" w:rsidRPr="000D1A08" w:rsidTr="00E3660B">
        <w:trPr>
          <w:trHeight w:val="110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Borman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A,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Ciepielewski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Z,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Wrona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D, et al. Small doses of morphine can enhance NK cell cytotoxicity in pigs.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Int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Immunopharmacol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2009;9:277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-83. Grade: strong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ANIMAL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STRONG</w:t>
            </w:r>
          </w:p>
        </w:tc>
      </w:tr>
      <w:tr w:rsidR="000D1A08" w:rsidRPr="000D1A08" w:rsidTr="00E3660B">
        <w:trPr>
          <w:trHeight w:val="154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Madera-Salcedo IK, Cruz SL, Gonzalez-Espinosa C. Morphine decreases early peritoneal innate immunity responses in Swiss-Webster and C57BL6/J mice through the inhibition of mast cell TNF-alpha release. J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Neuroimmunol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2011;232:101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-7. Grade: strong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ANIMAL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STRONG</w:t>
            </w:r>
          </w:p>
        </w:tc>
      </w:tr>
      <w:tr w:rsidR="000D1A08" w:rsidRPr="000D1A08" w:rsidTr="00E3660B">
        <w:trPr>
          <w:trHeight w:val="110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Nguyen J,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Luk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K,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Vang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D, et al. Morphine stimulates cancer progression and mast cell activation and impairs survival in transgenic mice with breast cancer. Br J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Anaesth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2014;113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Suppl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1:i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4-13. Grade: strong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ANIMAL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STRONG</w:t>
            </w:r>
          </w:p>
        </w:tc>
      </w:tr>
      <w:tr w:rsidR="000D1A08" w:rsidRPr="000D1A08" w:rsidTr="00E3660B">
        <w:trPr>
          <w:trHeight w:val="6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Simon RH,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Arbo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TE. Morphine increases metastatic tumor growth. Brain Res Bull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1986;16:363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-7. Grade: average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0D1A08">
              <w:rPr>
                <w:rFonts w:ascii="Calibri" w:eastAsia="Calibri" w:hAnsi="Calibri" w:cs="Calibri"/>
                <w:sz w:val="24"/>
                <w:szCs w:val="24"/>
                <w:bdr w:val="nil"/>
              </w:rPr>
              <w:t>ANIMAL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88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Moon TD. The effect of opiates upon prostatic carcinoma cell growth.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Biochem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Biophys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Res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Commun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1988;153:722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-7. Grade: average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110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Ishikawa M,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Tanno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K,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Kamo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A,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Takayanagi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Y, Sasaki K. Enhancement of tumor growth by morphine and its possible mechanism in mice.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Biol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Pharm Bull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1993;16:762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-6. Grade: average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ANIMAL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110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Page GG, Ben-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Eliyahu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S,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Yirmiya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R,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Liebeskind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JC. Morphine attenuates surgery-induced enhancement of metastatic colonization in rats. Pain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1993;54:21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-8. Grade: weak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ANIMAL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WEAK</w:t>
            </w:r>
          </w:p>
        </w:tc>
      </w:tr>
      <w:tr w:rsidR="000D1A08" w:rsidRPr="000D1A08" w:rsidTr="00E3660B">
        <w:trPr>
          <w:trHeight w:val="132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Lazarczyk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M,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Matyja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E,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Lipkowski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AW. A comparative study of morphine stimulation and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biphalin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inhibition of human glioblastoma T98G cell proliferation in vitro. Peptides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2010;31:1606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-12. Grade: average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132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Tegeder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I,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Grosch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S,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Schmidtko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A, et al. G protein-independent G1 cell cycle block and apoptosis with morphine in adenocarcinoma cells: involvement of p53 phosphorylation. Cancer Res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2003;63:1846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-52. Grade: average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88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Yeager MP,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Colacchio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TA. Effect of morphine on growth of metastatic colon cancer in vivo. Arch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Surg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1991;126:454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-6. Grade: average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0D1A08">
              <w:rPr>
                <w:rFonts w:ascii="Calibri" w:eastAsia="Calibri" w:hAnsi="Calibri" w:cs="Calibri"/>
                <w:sz w:val="24"/>
                <w:szCs w:val="24"/>
                <w:bdr w:val="nil"/>
              </w:rPr>
              <w:t>ANIMAL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110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Mathew B, Lennon FE,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Siegler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J, et al. The novel role of the mu opioid receptor in lung cancer progression: a laboratory investigation.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Anesth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Analg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2011;112:558-67.Grade: strong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STRONG</w:t>
            </w:r>
          </w:p>
        </w:tc>
      </w:tr>
      <w:tr w:rsidR="000D1A08" w:rsidRPr="000D1A08" w:rsidTr="00E3660B">
        <w:trPr>
          <w:trHeight w:val="132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Afsharimani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B,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Doornebal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CW, Cabot PJ, Hollmann MW,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Parat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MO. Comparison and analysis of the animal models used to study the effect of morphine on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tumour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growth and metastasis. Br J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Pharmacol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2015;172:251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-9. Grade: strong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ANIMAL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STRONG</w:t>
            </w:r>
          </w:p>
        </w:tc>
      </w:tr>
      <w:tr w:rsidR="000D1A08" w:rsidRPr="000D1A08" w:rsidTr="00E3660B">
        <w:trPr>
          <w:trHeight w:val="88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Carmeliet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P, Jain RK. Angiogenesis in cancer and other diseases. Nature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2000;407:249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-57. Grade: strong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Times New Roman"/>
                <w:bdr w:val="nil"/>
              </w:rPr>
            </w:pPr>
            <w:r w:rsidRPr="000D1A08">
              <w:rPr>
                <w:rFonts w:ascii="Calibri" w:eastAsia="Arial Unicode MS" w:hAnsi="Calibri" w:cs="Times New Roman"/>
                <w:bdr w:val="nil"/>
              </w:rPr>
              <w:t>REVIEW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STRONG</w:t>
            </w:r>
          </w:p>
        </w:tc>
      </w:tr>
      <w:tr w:rsidR="000D1A08" w:rsidRPr="000D1A08" w:rsidTr="00E3660B">
        <w:trPr>
          <w:trHeight w:val="110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Hobbs SK,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Monsky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WL, Yuan F, et al. Regulation of transport pathways in tumor vessels: role of tumor type and microenvironment.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Proc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Natl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Acad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Sci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U S A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1998;95:4607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-12. Grade: average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132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Gupta K,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Kshirsagar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S, Chang L, et al. Morphine stimulates angiogenesis by activating proangiogenic and survival-promoting signaling and promotes breast tumor growth. Cancer Res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2002;62:4491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-8. Grade: strong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STRONG</w:t>
            </w:r>
          </w:p>
        </w:tc>
      </w:tr>
      <w:tr w:rsidR="000D1A08" w:rsidRPr="000D1A08" w:rsidTr="00E3660B">
        <w:trPr>
          <w:trHeight w:val="110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Farooqui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M,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Geng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ZH, Stephenson EJ,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Zaveri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N, Yee D, Gupta K. Naloxone acts as an antagonist of estrogen receptor activity in MCF-7 cells.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Mol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Cancer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Ther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2006;5:611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-20. Grade: average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88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Singleton PA, Moss J. Effect of perioperative opioids on cancer recurrence: a hypothesis. Future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Oncol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2010;6:1237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-42. Grade: weak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WEAK</w:t>
            </w:r>
          </w:p>
        </w:tc>
      </w:tr>
      <w:tr w:rsidR="000D1A08" w:rsidRPr="000D1A08" w:rsidTr="00E3660B">
        <w:trPr>
          <w:trHeight w:val="110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Stefano GB, Hartman A,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Bilfinger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TV, et al. Presence of the mu3 opiate receptor in endothelial cells. Coupling to nitric oxide production and vasodilation. J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Biol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Chem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1995;270:30290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-3. Grade: weak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WEAK</w:t>
            </w:r>
          </w:p>
        </w:tc>
      </w:tr>
      <w:tr w:rsidR="000D1A08" w:rsidRPr="000D1A08" w:rsidTr="00E3660B">
        <w:trPr>
          <w:trHeight w:val="17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Balasubramanian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S,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Ramakrishnan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S,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Charboneau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R, Wang J,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Barke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RA, Roy S. Morphine sulfate inhibits hypoxia-induced vascular endothelial growth factor expression in endothelial cells and cardiac myocytes. J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Mol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Cell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Cardiol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2001;33:2179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-87. Grade: weak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WEAK</w:t>
            </w:r>
          </w:p>
        </w:tc>
      </w:tr>
      <w:tr w:rsidR="000D1A08" w:rsidRPr="000D1A08" w:rsidTr="00E3660B">
        <w:trPr>
          <w:trHeight w:val="132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Koodie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L,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Ramakrishnan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S, Roy S. Morphine suppresses tumor angiogenesis through a HIF-1alpha/p38MAPK pathway. Am J </w:t>
            </w:r>
            <w:proofErr w:type="spell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Pathol</w:t>
            </w:r>
            <w:proofErr w:type="spell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2010;177:984</w:t>
            </w:r>
            <w:proofErr w:type="gramEnd"/>
            <w:r w:rsidRPr="000D1A08">
              <w:rPr>
                <w:rFonts w:ascii="Times New Roman" w:eastAsia="Cambria" w:hAnsi="Times New Roman" w:cs="Cambria"/>
                <w:color w:val="000000"/>
                <w:sz w:val="20"/>
                <w:szCs w:val="20"/>
                <w:u w:color="000000"/>
                <w:bdr w:val="nil"/>
              </w:rPr>
              <w:t>-97. Grade: average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</w:tbl>
    <w:p w:rsidR="000D1A08" w:rsidRPr="000D1A08" w:rsidRDefault="000D1A08" w:rsidP="000D1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</w:rPr>
      </w:pPr>
      <w:r w:rsidRPr="000D1A08">
        <w:rPr>
          <w:rFonts w:ascii="Calibri" w:eastAsia="Calibri" w:hAnsi="Calibri" w:cs="Calibri"/>
          <w:sz w:val="16"/>
          <w:szCs w:val="16"/>
          <w:bdr w:val="nil"/>
        </w:rPr>
        <w:br w:type="page"/>
      </w: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</w:rPr>
      </w:pPr>
    </w:p>
    <w:tbl>
      <w:tblPr>
        <w:tblpPr w:leftFromText="180" w:rightFromText="180" w:vertAnchor="text" w:horzAnchor="margin" w:tblpY="12"/>
        <w:tblW w:w="103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5"/>
        <w:gridCol w:w="3087"/>
        <w:gridCol w:w="735"/>
        <w:gridCol w:w="735"/>
        <w:gridCol w:w="701"/>
        <w:gridCol w:w="160"/>
        <w:gridCol w:w="823"/>
        <w:gridCol w:w="520"/>
        <w:gridCol w:w="978"/>
        <w:gridCol w:w="2029"/>
      </w:tblGrid>
      <w:tr w:rsidR="000D1A08" w:rsidRPr="000D1A08" w:rsidTr="00E3660B">
        <w:trPr>
          <w:trHeight w:val="476"/>
        </w:trPr>
        <w:tc>
          <w:tcPr>
            <w:tcW w:w="5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9768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GRADE Evidence Ranking Worksheet</w:t>
            </w:r>
          </w:p>
        </w:tc>
      </w:tr>
      <w:tr w:rsidR="000D1A08" w:rsidRPr="000D1A08" w:rsidTr="00E3660B">
        <w:trPr>
          <w:trHeight w:val="476"/>
        </w:trPr>
        <w:tc>
          <w:tcPr>
            <w:tcW w:w="5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9768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SECTION: NSAIDs and Cancer Recurrence</w:t>
            </w:r>
          </w:p>
        </w:tc>
      </w:tr>
      <w:tr w:rsidR="000D1A08" w:rsidRPr="000D1A08" w:rsidTr="00E3660B">
        <w:trPr>
          <w:trHeight w:val="812"/>
        </w:trPr>
        <w:tc>
          <w:tcPr>
            <w:tcW w:w="5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Publication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Proof level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Risk Benefit ratio</w:t>
            </w:r>
          </w:p>
        </w:tc>
        <w:tc>
          <w:tcPr>
            <w:tcW w:w="8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Directness</w:t>
            </w:r>
          </w:p>
        </w:tc>
        <w:tc>
          <w:tcPr>
            <w:tcW w:w="8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Critical or Important</w:t>
            </w:r>
          </w:p>
        </w:tc>
        <w:tc>
          <w:tcPr>
            <w:tcW w:w="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Total</w:t>
            </w:r>
          </w:p>
        </w:tc>
        <w:tc>
          <w:tcPr>
            <w:tcW w:w="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Type</w:t>
            </w:r>
          </w:p>
        </w:tc>
        <w:tc>
          <w:tcPr>
            <w:tcW w:w="2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Summary</w:t>
            </w:r>
          </w:p>
        </w:tc>
      </w:tr>
      <w:tr w:rsidR="000D1A08" w:rsidRPr="000D1A08" w:rsidTr="00E3660B">
        <w:trPr>
          <w:trHeight w:val="672"/>
        </w:trPr>
        <w:tc>
          <w:tcPr>
            <w:tcW w:w="36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+6 to -7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+2 to -1</w:t>
            </w:r>
          </w:p>
        </w:tc>
        <w:tc>
          <w:tcPr>
            <w:tcW w:w="8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+2  or 0</w:t>
            </w:r>
          </w:p>
        </w:tc>
        <w:tc>
          <w:tcPr>
            <w:tcW w:w="8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+3 to +1</w:t>
            </w:r>
          </w:p>
        </w:tc>
        <w:tc>
          <w:tcPr>
            <w:tcW w:w="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13 max</w:t>
            </w:r>
          </w:p>
        </w:tc>
        <w:tc>
          <w:tcPr>
            <w:tcW w:w="300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D1A08" w:rsidRPr="000D1A08" w:rsidTr="00E3660B">
        <w:trPr>
          <w:trHeight w:val="672"/>
        </w:trPr>
        <w:tc>
          <w:tcPr>
            <w:tcW w:w="5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Giardiello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FM. et al. </w:t>
            </w:r>
            <w:r w:rsidRPr="000D1A08">
              <w:rPr>
                <w:rFonts w:ascii="Cambria" w:eastAsia="Cambria" w:hAnsi="Cambria" w:cs="Cambria"/>
                <w:color w:val="000000"/>
                <w:sz w:val="18"/>
                <w:szCs w:val="18"/>
                <w:u w:color="000000"/>
                <w:bdr w:val="nil"/>
              </w:rPr>
              <w:t xml:space="preserve"> N.Engl.J.Med.,328,1313-1316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6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12</w:t>
            </w:r>
          </w:p>
        </w:tc>
        <w:tc>
          <w:tcPr>
            <w:tcW w:w="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RCT</w:t>
            </w:r>
          </w:p>
        </w:tc>
        <w:tc>
          <w:tcPr>
            <w:tcW w:w="2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Reduced number and size of colonic polyps w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sulindac</w:t>
            </w:r>
            <w:proofErr w:type="spellEnd"/>
          </w:p>
        </w:tc>
      </w:tr>
      <w:tr w:rsidR="000D1A08" w:rsidRPr="000D1A08" w:rsidTr="00E3660B">
        <w:trPr>
          <w:trHeight w:val="752"/>
        </w:trPr>
        <w:tc>
          <w:tcPr>
            <w:tcW w:w="5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Midgley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RS et </w:t>
            </w:r>
            <w:proofErr w:type="gram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al </w:t>
            </w:r>
            <w:r w:rsidRPr="000D1A0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J</w:t>
            </w:r>
            <w:proofErr w:type="gram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Clin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Oncol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. 2010 Oct 20;28(30):4575-80.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6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-1</w:t>
            </w:r>
          </w:p>
        </w:tc>
        <w:tc>
          <w:tcPr>
            <w:tcW w:w="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9</w:t>
            </w:r>
          </w:p>
        </w:tc>
        <w:tc>
          <w:tcPr>
            <w:tcW w:w="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RCT</w:t>
            </w:r>
          </w:p>
        </w:tc>
        <w:tc>
          <w:tcPr>
            <w:tcW w:w="2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No benefit of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rofecoxib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on Colorectal ca</w:t>
            </w:r>
          </w:p>
        </w:tc>
      </w:tr>
      <w:tr w:rsidR="000D1A08" w:rsidRPr="000D1A08" w:rsidTr="00E3660B">
        <w:trPr>
          <w:trHeight w:val="1112"/>
        </w:trPr>
        <w:tc>
          <w:tcPr>
            <w:tcW w:w="5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Retsky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M </w:t>
            </w:r>
            <w:proofErr w:type="gram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et al. .</w:t>
            </w:r>
            <w:proofErr w:type="gram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Curr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Med Chem. 2013 Nov; 20(33): 4163–4176.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7</w:t>
            </w:r>
          </w:p>
        </w:tc>
        <w:tc>
          <w:tcPr>
            <w:tcW w:w="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Retrospective. Not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randomised</w:t>
            </w:r>
            <w:proofErr w:type="spellEnd"/>
          </w:p>
        </w:tc>
        <w:tc>
          <w:tcPr>
            <w:tcW w:w="2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Reduced early recurrence of breast cancer w NSAIDs</w:t>
            </w:r>
          </w:p>
        </w:tc>
      </w:tr>
      <w:tr w:rsidR="000D1A08" w:rsidRPr="000D1A08" w:rsidTr="00E3660B">
        <w:trPr>
          <w:trHeight w:val="672"/>
        </w:trPr>
        <w:tc>
          <w:tcPr>
            <w:tcW w:w="5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Muscat JE. Et al. </w:t>
            </w:r>
            <w:r w:rsidRPr="000D1A0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Cancer. 2003;97(7):1732-1736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Case Control</w:t>
            </w:r>
          </w:p>
        </w:tc>
        <w:tc>
          <w:tcPr>
            <w:tcW w:w="2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NSAIDs were protective vs lung cancer in smokers</w:t>
            </w:r>
          </w:p>
        </w:tc>
      </w:tr>
      <w:tr w:rsidR="000D1A08" w:rsidRPr="000D1A08" w:rsidTr="00E3660B">
        <w:trPr>
          <w:trHeight w:val="752"/>
        </w:trPr>
        <w:tc>
          <w:tcPr>
            <w:tcW w:w="5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Schreinemachers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DM et </w:t>
            </w:r>
            <w:proofErr w:type="gram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al </w:t>
            </w:r>
            <w:r w:rsidRPr="000D1A0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Epidemiology</w:t>
            </w:r>
            <w:proofErr w:type="gram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. 1994;5:138-146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7</w:t>
            </w:r>
          </w:p>
        </w:tc>
        <w:tc>
          <w:tcPr>
            <w:tcW w:w="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Observational</w:t>
            </w:r>
          </w:p>
        </w:tc>
        <w:tc>
          <w:tcPr>
            <w:tcW w:w="2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Aspirin decreases risk of multiple cancers</w:t>
            </w:r>
          </w:p>
        </w:tc>
      </w:tr>
      <w:tr w:rsidR="000D1A08" w:rsidRPr="000D1A08" w:rsidTr="00E3660B">
        <w:trPr>
          <w:trHeight w:val="892"/>
        </w:trPr>
        <w:tc>
          <w:tcPr>
            <w:tcW w:w="5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0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Harris RE et </w:t>
            </w:r>
            <w:proofErr w:type="gram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al .</w:t>
            </w:r>
            <w:proofErr w:type="gram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International Journal of Biological Sciences 2007;3(5):328-334.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7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7</w:t>
            </w:r>
          </w:p>
        </w:tc>
        <w:tc>
          <w:tcPr>
            <w:tcW w:w="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Case Control</w:t>
            </w:r>
          </w:p>
        </w:tc>
        <w:tc>
          <w:tcPr>
            <w:tcW w:w="2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COX2 inhibitors decrease risk of developing breast cancer</w:t>
            </w:r>
          </w:p>
        </w:tc>
      </w:tr>
    </w:tbl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</w:rPr>
      </w:pPr>
      <w:r w:rsidRPr="000D1A08">
        <w:rPr>
          <w:rFonts w:ascii="Calibri" w:eastAsia="Calibri" w:hAnsi="Calibri" w:cs="Calibri"/>
          <w:sz w:val="16"/>
          <w:szCs w:val="16"/>
          <w:bdr w:val="nil"/>
        </w:rPr>
        <w:br w:type="page"/>
      </w: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sz w:val="16"/>
          <w:szCs w:val="16"/>
          <w:u w:color="000000"/>
          <w:bdr w:val="nil"/>
        </w:rPr>
      </w:pPr>
    </w:p>
    <w:tbl>
      <w:tblPr>
        <w:tblpPr w:leftFromText="180" w:rightFromText="180" w:vertAnchor="text" w:horzAnchor="margin" w:tblpY="16"/>
        <w:tblW w:w="103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0"/>
        <w:gridCol w:w="3228"/>
        <w:gridCol w:w="768"/>
        <w:gridCol w:w="767"/>
        <w:gridCol w:w="741"/>
        <w:gridCol w:w="160"/>
        <w:gridCol w:w="860"/>
        <w:gridCol w:w="543"/>
        <w:gridCol w:w="543"/>
        <w:gridCol w:w="2178"/>
      </w:tblGrid>
      <w:tr w:rsidR="000D1A08" w:rsidRPr="000D1A08" w:rsidTr="00E3660B">
        <w:trPr>
          <w:trHeight w:val="328"/>
        </w:trPr>
        <w:tc>
          <w:tcPr>
            <w:tcW w:w="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9788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GRADE Evidence Ranking Worksheet</w:t>
            </w:r>
          </w:p>
        </w:tc>
      </w:tr>
      <w:tr w:rsidR="000D1A08" w:rsidRPr="000D1A08" w:rsidTr="00E3660B">
        <w:trPr>
          <w:trHeight w:val="328"/>
        </w:trPr>
        <w:tc>
          <w:tcPr>
            <w:tcW w:w="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9788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SECTION: Ketamine and Cancer Recurrence</w:t>
            </w:r>
          </w:p>
        </w:tc>
      </w:tr>
      <w:tr w:rsidR="000D1A08" w:rsidRPr="000D1A08" w:rsidTr="00E3660B">
        <w:trPr>
          <w:trHeight w:val="812"/>
        </w:trPr>
        <w:tc>
          <w:tcPr>
            <w:tcW w:w="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Publication</w:t>
            </w:r>
          </w:p>
        </w:tc>
        <w:tc>
          <w:tcPr>
            <w:tcW w:w="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Proof level</w:t>
            </w:r>
          </w:p>
        </w:tc>
        <w:tc>
          <w:tcPr>
            <w:tcW w:w="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Risk Benefit ratio</w:t>
            </w:r>
          </w:p>
        </w:tc>
        <w:tc>
          <w:tcPr>
            <w:tcW w:w="9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Directness</w:t>
            </w: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Critical or Important</w:t>
            </w:r>
          </w:p>
        </w:tc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Total</w:t>
            </w:r>
          </w:p>
        </w:tc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Type</w:t>
            </w:r>
          </w:p>
        </w:tc>
        <w:tc>
          <w:tcPr>
            <w:tcW w:w="21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Summary</w:t>
            </w:r>
          </w:p>
        </w:tc>
      </w:tr>
      <w:tr w:rsidR="000D1A08" w:rsidRPr="000D1A08" w:rsidTr="00E3660B">
        <w:trPr>
          <w:trHeight w:val="672"/>
        </w:trPr>
        <w:tc>
          <w:tcPr>
            <w:tcW w:w="38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+6 to -7</w:t>
            </w:r>
          </w:p>
        </w:tc>
        <w:tc>
          <w:tcPr>
            <w:tcW w:w="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+2 to -1</w:t>
            </w:r>
          </w:p>
        </w:tc>
        <w:tc>
          <w:tcPr>
            <w:tcW w:w="9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+2  or 0</w:t>
            </w:r>
          </w:p>
        </w:tc>
        <w:tc>
          <w:tcPr>
            <w:tcW w:w="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+3 to +1</w:t>
            </w:r>
          </w:p>
        </w:tc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13 max</w:t>
            </w:r>
          </w:p>
        </w:tc>
        <w:tc>
          <w:tcPr>
            <w:tcW w:w="272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D1A08" w:rsidRPr="000D1A08" w:rsidTr="00E3660B">
        <w:trPr>
          <w:trHeight w:val="892"/>
        </w:trPr>
        <w:tc>
          <w:tcPr>
            <w:tcW w:w="5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2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>Beilin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 B, et al. Br J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>Anaesth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 2007;99:522-7</w:t>
            </w:r>
          </w:p>
        </w:tc>
        <w:tc>
          <w:tcPr>
            <w:tcW w:w="7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7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5</w:t>
            </w:r>
          </w:p>
        </w:tc>
        <w:tc>
          <w:tcPr>
            <w:tcW w:w="5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RA</w:t>
            </w:r>
          </w:p>
        </w:tc>
        <w:tc>
          <w:tcPr>
            <w:tcW w:w="21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RCT trial evaluates the </w:t>
            </w:r>
            <w:proofErr w:type="gram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cytokine  expression</w:t>
            </w:r>
            <w:proofErr w:type="gram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by ketamine infusion. </w:t>
            </w:r>
          </w:p>
        </w:tc>
      </w:tr>
    </w:tbl>
    <w:p w:rsid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rPr>
          <w:rFonts w:ascii="Cambria" w:eastAsia="Cambria" w:hAnsi="Cambria" w:cs="Cambria"/>
          <w:color w:val="000000"/>
          <w:u w:color="000000"/>
          <w:bdr w:val="nil"/>
          <w:shd w:val="clear" w:color="auto" w:fill="FFFF00"/>
        </w:rPr>
      </w:pPr>
    </w:p>
    <w:p w:rsidR="000D1A08" w:rsidRPr="000D1A08" w:rsidRDefault="000D1A08" w:rsidP="000D1A08">
      <w:pPr>
        <w:rPr>
          <w:rFonts w:ascii="Cambria" w:eastAsia="Cambria" w:hAnsi="Cambria" w:cs="Cambria"/>
          <w:color w:val="000000"/>
          <w:u w:color="000000"/>
          <w:bdr w:val="nil"/>
          <w:shd w:val="clear" w:color="auto" w:fill="FFFF00"/>
        </w:rPr>
      </w:pPr>
      <w:r>
        <w:rPr>
          <w:rFonts w:ascii="Cambria" w:eastAsia="Cambria" w:hAnsi="Cambria" w:cs="Cambria"/>
          <w:color w:val="000000"/>
          <w:u w:color="000000"/>
          <w:bdr w:val="nil"/>
          <w:shd w:val="clear" w:color="auto" w:fill="FFFF00"/>
        </w:rPr>
        <w:br w:type="page"/>
      </w:r>
      <w:r w:rsidRPr="000D1A08">
        <w:rPr>
          <w:rFonts w:ascii="Cambria" w:eastAsia="Cambria" w:hAnsi="Cambria" w:cs="Cambria"/>
          <w:b/>
          <w:bCs/>
          <w:color w:val="000000"/>
          <w:u w:color="000000"/>
          <w:bdr w:val="nil"/>
          <w:lang w:val="de-DE"/>
        </w:rPr>
        <w:lastRenderedPageBreak/>
        <w:t>Animal Studies (Ketamine):</w:t>
      </w:r>
    </w:p>
    <w:tbl>
      <w:tblPr>
        <w:tblW w:w="103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93"/>
        <w:gridCol w:w="5193"/>
      </w:tblGrid>
      <w:tr w:rsidR="000D1A08" w:rsidRPr="000D1A08" w:rsidTr="00E3660B">
        <w:trPr>
          <w:trHeight w:val="712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a-DK"/>
              </w:rPr>
              <w:t xml:space="preserve">Forget at al. </w:t>
            </w:r>
            <w:proofErr w:type="spellStart"/>
            <w:r w:rsidRPr="000D1A08">
              <w:rPr>
                <w:rFonts w:ascii="Arial" w:eastAsia="Cambria" w:hAnsi="Arial" w:cs="Cambria"/>
                <w:i/>
                <w:iCs/>
                <w:color w:val="000000"/>
                <w:u w:color="000000"/>
                <w:bdr w:val="nil"/>
              </w:rPr>
              <w:t>Eur</w:t>
            </w:r>
            <w:proofErr w:type="spellEnd"/>
            <w:r w:rsidRPr="000D1A08">
              <w:rPr>
                <w:rFonts w:ascii="Arial" w:eastAsia="Cambria" w:hAnsi="Arial" w:cs="Cambria"/>
                <w:i/>
                <w:iCs/>
                <w:color w:val="000000"/>
                <w:u w:color="000000"/>
                <w:bdr w:val="nil"/>
              </w:rPr>
              <w:t xml:space="preserve"> J </w:t>
            </w:r>
            <w:proofErr w:type="spellStart"/>
            <w:r w:rsidRPr="000D1A08">
              <w:rPr>
                <w:rFonts w:ascii="Arial" w:eastAsia="Cambria" w:hAnsi="Arial" w:cs="Cambria"/>
                <w:i/>
                <w:iCs/>
                <w:color w:val="000000"/>
                <w:u w:color="000000"/>
                <w:bdr w:val="nil"/>
              </w:rPr>
              <w:t>Anaesthesiol</w:t>
            </w:r>
            <w:proofErr w:type="spellEnd"/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</w:rPr>
              <w:t xml:space="preserve"> 2010;27:233-40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b/>
                <w:bCs/>
                <w:color w:val="000000"/>
                <w:u w:color="000000"/>
                <w:bdr w:val="nil"/>
              </w:rPr>
              <w:t>Strong</w:t>
            </w: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</w:rPr>
              <w:t xml:space="preserve"> evidence, although the murine model may limit extrapolation to humans. </w:t>
            </w:r>
          </w:p>
        </w:tc>
      </w:tr>
      <w:tr w:rsidR="000D1A08" w:rsidRPr="000D1A08" w:rsidTr="00E3660B">
        <w:trPr>
          <w:trHeight w:val="1277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fr-FR"/>
              </w:rPr>
              <w:t>DeClue</w:t>
            </w:r>
            <w:proofErr w:type="spellEnd"/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fr-FR"/>
              </w:rPr>
              <w:t xml:space="preserve"> AE, et al. </w:t>
            </w:r>
            <w:r w:rsidRPr="000D1A08">
              <w:rPr>
                <w:rFonts w:ascii="Arial" w:eastAsia="Cambria" w:hAnsi="Arial" w:cs="Cambria"/>
                <w:i/>
                <w:iCs/>
                <w:color w:val="000000"/>
                <w:u w:color="000000"/>
                <w:bdr w:val="nil"/>
              </w:rPr>
              <w:t>American Journal of Veterinary Research</w:t>
            </w: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</w:rPr>
              <w:t>2008;69:228</w:t>
            </w:r>
            <w:proofErr w:type="gramEnd"/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</w:rPr>
              <w:t xml:space="preserve">-232. 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b/>
                <w:bCs/>
                <w:color w:val="000000"/>
                <w:u w:color="000000"/>
                <w:bdr w:val="nil"/>
              </w:rPr>
              <w:t xml:space="preserve">Strong </w:t>
            </w: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</w:rPr>
              <w:t xml:space="preserve">evidence but unfortunately evaluates effects of ketamine on TNF –alpha, but it was not evaluated in cancer model, therefore, does not answer the main question posted in manuscript. </w:t>
            </w:r>
          </w:p>
        </w:tc>
      </w:tr>
    </w:tbl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u w:color="000000"/>
          <w:bdr w:val="nil"/>
        </w:rPr>
      </w:pPr>
    </w:p>
    <w:p w:rsid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de-DE"/>
        </w:rPr>
      </w:pPr>
      <w:r w:rsidRPr="000D1A08">
        <w:rPr>
          <w:rFonts w:ascii="Calibri" w:eastAsia="Calibri" w:hAnsi="Calibri" w:cs="Calibri"/>
          <w:b/>
          <w:bCs/>
          <w:color w:val="000000"/>
          <w:u w:color="000000"/>
          <w:bdr w:val="nil"/>
          <w:lang w:val="de-DE"/>
        </w:rPr>
        <w:t>CELL STUDIES (Ketamine):</w:t>
      </w: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bCs/>
          <w:color w:val="000000"/>
          <w:u w:color="000000"/>
          <w:bdr w:val="nil"/>
        </w:rPr>
      </w:pPr>
    </w:p>
    <w:tbl>
      <w:tblPr>
        <w:tblW w:w="103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75"/>
        <w:gridCol w:w="5178"/>
      </w:tblGrid>
      <w:tr w:rsidR="000D1A08" w:rsidRPr="000D1A08" w:rsidTr="00E3660B">
        <w:trPr>
          <w:trHeight w:val="1471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Li CY et al. Can J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Anaesth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. 1997;4(9):989-95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330" w:lineRule="atLeast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</w:rPr>
              <w:t xml:space="preserve">STRONG: </w:t>
            </w:r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Quality of the study is average as is done in murine model with appropriate study design, significant dose response findings and consistency of effects.</w:t>
            </w:r>
          </w:p>
        </w:tc>
      </w:tr>
      <w:tr w:rsidR="000D1A08" w:rsidRPr="000D1A08" w:rsidTr="00E3660B">
        <w:trPr>
          <w:trHeight w:val="1260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  <w:lang w:val="fr-FR"/>
              </w:rPr>
              <w:t>Nishina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  <w:lang w:val="fr-FR"/>
              </w:rPr>
              <w:t xml:space="preserve"> K, et al.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  <w:lang w:val="fr-FR"/>
              </w:rPr>
              <w:t>Anesth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  <w:lang w:val="fr-FR"/>
              </w:rPr>
              <w:t xml:space="preserve">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  <w:lang w:val="fr-FR"/>
              </w:rPr>
              <w:t>Analg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  <w:lang w:val="fr-FR"/>
              </w:rPr>
              <w:t>. 1998;86(1):159-65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330" w:lineRule="atLeast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</w:rPr>
              <w:t>STRONG:</w:t>
            </w: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 </w:t>
            </w:r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Ketamine in human cell lines showed positive effects on neutrophil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funcion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 when compared with other commonly used IV anesthetics.</w:t>
            </w:r>
          </w:p>
        </w:tc>
      </w:tr>
      <w:tr w:rsidR="000D1A08" w:rsidRPr="000D1A08" w:rsidTr="00E3660B">
        <w:trPr>
          <w:trHeight w:val="585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Shimaoka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 et al. Br J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Anaesth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 1996;77(2):238-42). 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de-DE"/>
              </w:rPr>
              <w:t>STRONG</w:t>
            </w:r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 quality, the main limitation refers to the murine model. </w:t>
            </w:r>
          </w:p>
        </w:tc>
      </w:tr>
      <w:tr w:rsidR="000D1A08" w:rsidRPr="000D1A08" w:rsidTr="00E3660B">
        <w:trPr>
          <w:trHeight w:val="585"/>
        </w:trPr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Fujimoto T., </w:t>
            </w:r>
            <w:proofErr w:type="spellStart"/>
            <w:r w:rsidRPr="000D1A08">
              <w:rPr>
                <w:rFonts w:ascii="Cambria" w:eastAsia="Cambria" w:hAnsi="Cambria" w:cs="Cambria"/>
                <w:i/>
                <w:iCs/>
                <w:color w:val="000000"/>
                <w:u w:color="000000"/>
                <w:bdr w:val="nil"/>
              </w:rPr>
              <w:t>Anesth</w:t>
            </w:r>
            <w:proofErr w:type="spellEnd"/>
            <w:r w:rsidRPr="000D1A08">
              <w:rPr>
                <w:rFonts w:ascii="Cambria" w:eastAsia="Cambria" w:hAnsi="Cambria" w:cs="Cambria"/>
                <w:i/>
                <w:iCs/>
                <w:color w:val="00000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Cambria" w:eastAsia="Cambria" w:hAnsi="Cambria" w:cs="Cambria"/>
                <w:i/>
                <w:iCs/>
                <w:color w:val="000000"/>
                <w:u w:color="000000"/>
                <w:bdr w:val="nil"/>
              </w:rPr>
              <w:t>Analg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 2005;101:1054-9.</w:t>
            </w:r>
          </w:p>
        </w:tc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u w:color="000000"/>
                <w:bdr w:val="nil"/>
                <w:lang w:val="de-DE"/>
              </w:rPr>
              <w:t>STRONG</w:t>
            </w:r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 quality except for the use of canine cell line.</w:t>
            </w:r>
          </w:p>
        </w:tc>
      </w:tr>
    </w:tbl>
    <w:p w:rsidR="000D1A08" w:rsidRPr="000D1A08" w:rsidRDefault="000D1A08" w:rsidP="000D1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Calibri" w:eastAsia="Calibri" w:hAnsi="Calibri" w:cs="Calibri"/>
          <w:b/>
          <w:bCs/>
          <w:color w:val="000000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Default="000D1A08">
      <w:pPr>
        <w:rPr>
          <w:rFonts w:ascii="Cambria" w:eastAsia="Cambria" w:hAnsi="Cambria" w:cs="Cambria"/>
          <w:color w:val="000000"/>
          <w:u w:color="000000"/>
          <w:bdr w:val="nil"/>
        </w:rPr>
      </w:pPr>
      <w:r>
        <w:rPr>
          <w:rFonts w:ascii="Cambria" w:eastAsia="Cambria" w:hAnsi="Cambria" w:cs="Cambria"/>
          <w:color w:val="000000"/>
          <w:u w:color="000000"/>
          <w:bdr w:val="nil"/>
        </w:rPr>
        <w:br w:type="page"/>
      </w: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color w:val="000000"/>
          <w:u w:color="000000"/>
          <w:bdr w:val="nil"/>
        </w:rPr>
      </w:pPr>
    </w:p>
    <w:tbl>
      <w:tblPr>
        <w:tblW w:w="93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7"/>
        <w:gridCol w:w="3413"/>
        <w:gridCol w:w="1912"/>
      </w:tblGrid>
      <w:tr w:rsidR="000D1A08" w:rsidRPr="000D1A08" w:rsidTr="00E3660B">
        <w:trPr>
          <w:trHeight w:val="243"/>
        </w:trPr>
        <w:tc>
          <w:tcPr>
            <w:tcW w:w="9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b/>
                <w:bCs/>
                <w:color w:val="000000"/>
                <w:u w:color="000000"/>
                <w:bdr w:val="nil"/>
                <w:lang w:val="de-DE"/>
              </w:rPr>
              <w:t>SECTION: LOCAL ANESTHETICS &amp; CANCER RECURRENCE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b/>
                <w:bCs/>
                <w:color w:val="000000"/>
                <w:u w:color="000000"/>
                <w:bdr w:val="nil"/>
                <w:lang w:val="de-DE"/>
              </w:rPr>
              <w:t>AUTHOR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b/>
                <w:bCs/>
                <w:color w:val="000000"/>
                <w:u w:color="000000"/>
                <w:bdr w:val="nil"/>
                <w:lang w:val="de-DE"/>
              </w:rPr>
              <w:t>ANIMAL OR 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b/>
                <w:bCs/>
                <w:color w:val="000000"/>
                <w:u w:color="000000"/>
                <w:bdr w:val="nil"/>
                <w:lang w:val="de-DE"/>
              </w:rPr>
              <w:t>GRADE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Stasinopuolis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Average</w:t>
            </w:r>
          </w:p>
        </w:tc>
      </w:tr>
      <w:tr w:rsidR="000D1A08" w:rsidRPr="000D1A08" w:rsidTr="00E3660B">
        <w:trPr>
          <w:trHeight w:val="48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Ness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Animal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Average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Schreiner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Average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Stewart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Weak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Macgregor </w:t>
            </w:r>
            <w:r w:rsidRPr="000D1A08">
              <w:rPr>
                <w:rFonts w:ascii="Arial" w:eastAsia="Cambria" w:hAnsi="Arial" w:cs="Cambria"/>
                <w:color w:val="FF0000"/>
                <w:u w:color="FF0000"/>
                <w:bdr w:val="nil"/>
                <w:lang w:val="de-DE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Animal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Strong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Schmidt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Animal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Strong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Azuma</w:t>
            </w:r>
            <w:r w:rsidRPr="000D1A08">
              <w:rPr>
                <w:rFonts w:ascii="Arial" w:eastAsia="Cambria" w:hAnsi="Arial" w:cs="Cambria"/>
                <w:color w:val="FF0000"/>
                <w:u w:color="FF0000"/>
                <w:bdr w:val="nil"/>
                <w:lang w:val="de-DE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Moderate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Blumenthal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Animal and 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Strong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Hammer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Average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Lan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Average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Goel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Weak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Flynn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Weak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Sinclair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Average</w:t>
            </w:r>
          </w:p>
        </w:tc>
      </w:tr>
      <w:tr w:rsidR="000D1A08" w:rsidRPr="000D1A08" w:rsidTr="00E3660B">
        <w:trPr>
          <w:trHeight w:val="29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Tanelian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Strong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Brackenburg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Average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Lucchinetti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Strong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Fedder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Average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Lirk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Strong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Castellano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Average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Hollmann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Average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Piegeler 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Strong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Xu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Average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Jiang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Average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Tada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Strong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Wang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Average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 xml:space="preserve">Chang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average</w:t>
            </w:r>
          </w:p>
        </w:tc>
      </w:tr>
      <w:tr w:rsidR="000D1A08" w:rsidRPr="000D1A08" w:rsidTr="00E3660B">
        <w:trPr>
          <w:trHeight w:val="241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0D1A0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lastRenderedPageBreak/>
              <w:t>Johnson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0D1A0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Animal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0D1A08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Strong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Lang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Cell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Strong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Bar-yosef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Animal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Strong</w:t>
            </w:r>
          </w:p>
        </w:tc>
      </w:tr>
      <w:tr w:rsidR="000D1A08" w:rsidRPr="000D1A08" w:rsidTr="00E3660B">
        <w:trPr>
          <w:trHeight w:val="24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Melamed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Animal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average</w:t>
            </w:r>
          </w:p>
        </w:tc>
      </w:tr>
    </w:tbl>
    <w:p w:rsidR="000D1A08" w:rsidRPr="000D1A08" w:rsidRDefault="000D1A08" w:rsidP="000D1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u w:color="000000"/>
          <w:bdr w:val="nil"/>
        </w:rPr>
      </w:pPr>
      <w:r w:rsidRPr="000D1A08">
        <w:rPr>
          <w:rFonts w:ascii="Times New Roman" w:eastAsia="Arial Unicode MS" w:hAnsi="Times New Roman" w:cs="Times New Roman"/>
          <w:sz w:val="24"/>
          <w:szCs w:val="24"/>
          <w:bdr w:val="nil"/>
        </w:rPr>
        <w:br w:type="page"/>
      </w:r>
    </w:p>
    <w:tbl>
      <w:tblPr>
        <w:tblpPr w:leftFromText="180" w:rightFromText="180" w:vertAnchor="text" w:horzAnchor="margin" w:tblpY="91"/>
        <w:tblW w:w="103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8"/>
        <w:gridCol w:w="3212"/>
        <w:gridCol w:w="765"/>
        <w:gridCol w:w="765"/>
        <w:gridCol w:w="737"/>
        <w:gridCol w:w="160"/>
        <w:gridCol w:w="857"/>
        <w:gridCol w:w="541"/>
        <w:gridCol w:w="540"/>
        <w:gridCol w:w="2168"/>
      </w:tblGrid>
      <w:tr w:rsidR="000D1A08" w:rsidRPr="000D1A08" w:rsidTr="00E3660B">
        <w:trPr>
          <w:trHeight w:val="401"/>
        </w:trPr>
        <w:tc>
          <w:tcPr>
            <w:tcW w:w="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9745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GRADE Evidence Ranking Worksheet</w:t>
            </w:r>
          </w:p>
        </w:tc>
      </w:tr>
      <w:tr w:rsidR="000D1A08" w:rsidRPr="000D1A08" w:rsidTr="00E3660B">
        <w:trPr>
          <w:trHeight w:val="401"/>
        </w:trPr>
        <w:tc>
          <w:tcPr>
            <w:tcW w:w="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9745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SECTION: Alpha-2 Agonists and Cancer Recurrence</w:t>
            </w:r>
          </w:p>
        </w:tc>
      </w:tr>
      <w:tr w:rsidR="000D1A08" w:rsidRPr="000D1A08" w:rsidTr="00E3660B">
        <w:trPr>
          <w:trHeight w:val="812"/>
        </w:trPr>
        <w:tc>
          <w:tcPr>
            <w:tcW w:w="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2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Publication</w:t>
            </w: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Proof level</w:t>
            </w: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Risk Benefit ratio</w:t>
            </w:r>
          </w:p>
        </w:tc>
        <w:tc>
          <w:tcPr>
            <w:tcW w:w="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Directness</w:t>
            </w:r>
          </w:p>
        </w:tc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Critical or Important</w:t>
            </w:r>
          </w:p>
        </w:tc>
        <w:tc>
          <w:tcPr>
            <w:tcW w:w="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Total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Type</w:t>
            </w:r>
          </w:p>
        </w:tc>
        <w:tc>
          <w:tcPr>
            <w:tcW w:w="2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Summary</w:t>
            </w:r>
          </w:p>
        </w:tc>
      </w:tr>
      <w:tr w:rsidR="000D1A08" w:rsidRPr="000D1A08" w:rsidTr="00E3660B">
        <w:trPr>
          <w:trHeight w:val="672"/>
        </w:trPr>
        <w:tc>
          <w:tcPr>
            <w:tcW w:w="379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+6 to -7</w:t>
            </w: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+2 to -1</w:t>
            </w:r>
          </w:p>
        </w:tc>
        <w:tc>
          <w:tcPr>
            <w:tcW w:w="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+2  or 0</w:t>
            </w:r>
          </w:p>
        </w:tc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+3 to +1</w:t>
            </w:r>
          </w:p>
        </w:tc>
        <w:tc>
          <w:tcPr>
            <w:tcW w:w="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13 max</w:t>
            </w:r>
          </w:p>
        </w:tc>
        <w:tc>
          <w:tcPr>
            <w:tcW w:w="270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D1A08" w:rsidRPr="000D1A08" w:rsidTr="00E3660B">
        <w:trPr>
          <w:trHeight w:val="1772"/>
        </w:trPr>
        <w:tc>
          <w:tcPr>
            <w:tcW w:w="5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2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20" w:hanging="720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  <w:lang w:val="es-ES_tradnl"/>
              </w:rPr>
              <w:t>Memis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  <w:lang w:val="es-ES_tradnl"/>
              </w:rPr>
              <w:t xml:space="preserve"> </w:t>
            </w:r>
            <w:proofErr w:type="spellStart"/>
            <w:proofErr w:type="gram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  <w:lang w:val="es-ES_tradnl"/>
              </w:rPr>
              <w:t>D,et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  <w:lang w:val="es-ES_tradnl"/>
              </w:rPr>
              <w:t xml:space="preserve"> al.</w:t>
            </w:r>
            <w:proofErr w:type="gram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  <w:lang w:val="es-ES_tradnl"/>
              </w:rPr>
              <w:t xml:space="preserve"> .</w:t>
            </w:r>
            <w:r w:rsidRPr="000D1A08">
              <w:rPr>
                <w:rFonts w:ascii="Cambria" w:eastAsia="Cambria" w:hAnsi="Cambria" w:cs="Cambria"/>
                <w:i/>
                <w:iCs/>
                <w:color w:val="000000"/>
                <w:u w:color="000000"/>
                <w:bdr w:val="nil"/>
              </w:rPr>
              <w:t xml:space="preserve"> Br J </w:t>
            </w:r>
            <w:proofErr w:type="spellStart"/>
            <w:r w:rsidRPr="000D1A08">
              <w:rPr>
                <w:rFonts w:ascii="Cambria" w:eastAsia="Cambria" w:hAnsi="Cambria" w:cs="Cambria"/>
                <w:i/>
                <w:iCs/>
                <w:color w:val="000000"/>
                <w:u w:color="000000"/>
                <w:bdr w:val="nil"/>
              </w:rPr>
              <w:t>Anaesth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 </w:t>
            </w:r>
            <w:proofErr w:type="gramStart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>2007;98:550</w:t>
            </w:r>
            <w:proofErr w:type="gramEnd"/>
            <w:r w:rsidRPr="000D1A08">
              <w:rPr>
                <w:rFonts w:ascii="Cambria" w:eastAsia="Cambria" w:hAnsi="Cambria" w:cs="Cambria"/>
                <w:color w:val="000000"/>
                <w:u w:color="000000"/>
                <w:bdr w:val="nil"/>
              </w:rPr>
              <w:t xml:space="preserve">-2. </w:t>
            </w: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7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5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5</w:t>
            </w:r>
          </w:p>
        </w:tc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RA</w:t>
            </w:r>
          </w:p>
        </w:tc>
        <w:tc>
          <w:tcPr>
            <w:tcW w:w="2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RCT trial evaluates the </w:t>
            </w:r>
            <w:proofErr w:type="gram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cytokine  expression</w:t>
            </w:r>
            <w:proofErr w:type="gram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by Dexmedetomidine, but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inot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in a population of cancer patients infusion. </w:t>
            </w:r>
          </w:p>
        </w:tc>
      </w:tr>
    </w:tbl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  <w:color w:val="000000"/>
          <w:u w:color="000000"/>
          <w:bdr w:val="nil"/>
        </w:rPr>
      </w:pPr>
      <w:r w:rsidRPr="000D1A08">
        <w:rPr>
          <w:rFonts w:ascii="Cambria" w:eastAsia="Cambria" w:hAnsi="Cambria" w:cs="Cambria"/>
          <w:b/>
          <w:bCs/>
          <w:color w:val="000000"/>
          <w:u w:color="000000"/>
          <w:bdr w:val="nil"/>
          <w:lang w:val="it-IT"/>
        </w:rPr>
        <w:t>Animal studies (Alpha-2- agonist):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0D1A08" w:rsidRPr="000D1A08" w:rsidTr="00E3660B">
        <w:trPr>
          <w:trHeight w:val="50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a-DK"/>
              </w:rPr>
              <w:t xml:space="preserve">Xu Y, Zhang R, Li C et al. </w:t>
            </w:r>
            <w:r w:rsidRPr="000D1A08">
              <w:rPr>
                <w:rFonts w:ascii="Arial" w:eastAsia="Cambria" w:hAnsi="Arial" w:cs="Cambria"/>
                <w:i/>
                <w:iCs/>
                <w:color w:val="000000"/>
                <w:u w:color="000000"/>
                <w:bdr w:val="nil"/>
                <w:lang w:val="it-IT"/>
              </w:rPr>
              <w:t>Fundam Clin Pharmacol</w:t>
            </w: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</w:rPr>
              <w:t xml:space="preserve"> 2015;29:462-71.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b/>
                <w:bCs/>
                <w:color w:val="000000"/>
                <w:u w:color="000000"/>
                <w:bdr w:val="nil"/>
              </w:rPr>
              <w:t>Average.</w:t>
            </w: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</w:rPr>
              <w:t xml:space="preserve"> Study is done for acute lung injury. There was no randomization</w:t>
            </w:r>
          </w:p>
        </w:tc>
      </w:tr>
    </w:tbl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  <w:color w:val="000000"/>
          <w:u w:color="000000"/>
          <w:bdr w:val="nil"/>
        </w:rPr>
      </w:pPr>
      <w:r w:rsidRPr="000D1A08">
        <w:rPr>
          <w:rFonts w:ascii="Cambria" w:eastAsia="Cambria" w:hAnsi="Cambria" w:cs="Cambria"/>
          <w:b/>
          <w:bCs/>
          <w:color w:val="000000"/>
          <w:u w:color="000000"/>
          <w:bdr w:val="nil"/>
          <w:lang w:val="de-DE"/>
        </w:rPr>
        <w:t>Cell studies (Alpha-2-agonists):</w:t>
      </w:r>
    </w:p>
    <w:tbl>
      <w:tblPr>
        <w:tblW w:w="103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97"/>
        <w:gridCol w:w="5173"/>
      </w:tblGrid>
      <w:tr w:rsidR="000D1A08" w:rsidRPr="000D1A08" w:rsidTr="00E3660B">
        <w:trPr>
          <w:trHeight w:val="552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</w:rPr>
              <w:t xml:space="preserve">Xia M, Ji NN, </w:t>
            </w:r>
            <w:proofErr w:type="spellStart"/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</w:rPr>
              <w:t>Duan</w:t>
            </w:r>
            <w:proofErr w:type="spellEnd"/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</w:rPr>
              <w:t xml:space="preserve"> ML </w:t>
            </w:r>
            <w:proofErr w:type="gramStart"/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</w:rPr>
              <w:t>et al..</w:t>
            </w:r>
            <w:proofErr w:type="gramEnd"/>
            <w:r w:rsidRPr="000D1A08">
              <w:rPr>
                <w:rFonts w:ascii="Arial" w:eastAsia="Cambria" w:hAnsi="Arial" w:cs="Cambria"/>
                <w:i/>
                <w:iCs/>
                <w:color w:val="000000"/>
                <w:u w:color="000000"/>
                <w:bdr w:val="nil"/>
                <w:lang w:val="it-IT"/>
              </w:rPr>
              <w:t xml:space="preserve"> Eur Rev Med Pharmacol Sci</w:t>
            </w: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</w:rPr>
              <w:t xml:space="preserve"> 2016;20:3500-6.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b/>
                <w:bCs/>
                <w:color w:val="000000"/>
                <w:u w:color="000000"/>
                <w:bdr w:val="nil"/>
                <w:lang w:val="de-DE"/>
              </w:rPr>
              <w:t>Strong</w:t>
            </w:r>
          </w:p>
        </w:tc>
      </w:tr>
      <w:tr w:rsidR="000D1A08" w:rsidRPr="000D1A08" w:rsidTr="00E3660B">
        <w:trPr>
          <w:trHeight w:val="552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a-DK"/>
              </w:rPr>
              <w:t>Zhang X, Wang J, Qian W et al..</w:t>
            </w:r>
            <w:r w:rsidRPr="000D1A08">
              <w:rPr>
                <w:rFonts w:ascii="Arial" w:eastAsia="Cambria" w:hAnsi="Arial" w:cs="Cambria"/>
                <w:i/>
                <w:iCs/>
                <w:color w:val="000000"/>
                <w:u w:color="000000"/>
                <w:bdr w:val="nil"/>
                <w:lang w:val="fr-FR"/>
              </w:rPr>
              <w:t xml:space="preserve"> Inflammation</w:t>
            </w: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</w:rPr>
              <w:t xml:space="preserve"> 2014;37:942-9.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b/>
                <w:bCs/>
                <w:color w:val="000000"/>
                <w:u w:color="000000"/>
                <w:bdr w:val="nil"/>
                <w:lang w:val="de-DE"/>
              </w:rPr>
              <w:t>Strong</w:t>
            </w:r>
          </w:p>
        </w:tc>
      </w:tr>
      <w:tr w:rsidR="000D1A08" w:rsidRPr="000D1A08" w:rsidTr="00E3660B">
        <w:trPr>
          <w:trHeight w:val="535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de-DE"/>
              </w:rPr>
              <w:t>Peng M, Wang YL, Wang CY, Chen C..</w:t>
            </w:r>
            <w:r w:rsidRPr="000D1A08">
              <w:rPr>
                <w:rFonts w:ascii="Arial" w:eastAsia="Cambria" w:hAnsi="Arial" w:cs="Cambria"/>
                <w:i/>
                <w:iCs/>
                <w:color w:val="000000"/>
                <w:u w:color="000000"/>
                <w:bdr w:val="nil"/>
              </w:rPr>
              <w:t xml:space="preserve"> J </w:t>
            </w:r>
            <w:proofErr w:type="spellStart"/>
            <w:r w:rsidRPr="000D1A08">
              <w:rPr>
                <w:rFonts w:ascii="Arial" w:eastAsia="Cambria" w:hAnsi="Arial" w:cs="Cambria"/>
                <w:i/>
                <w:iCs/>
                <w:color w:val="000000"/>
                <w:u w:color="000000"/>
                <w:bdr w:val="nil"/>
              </w:rPr>
              <w:t>Surg</w:t>
            </w:r>
            <w:proofErr w:type="spellEnd"/>
            <w:r w:rsidRPr="000D1A08">
              <w:rPr>
                <w:rFonts w:ascii="Arial" w:eastAsia="Cambria" w:hAnsi="Arial" w:cs="Cambria"/>
                <w:i/>
                <w:iCs/>
                <w:color w:val="000000"/>
                <w:u w:color="000000"/>
                <w:bdr w:val="nil"/>
              </w:rPr>
              <w:t xml:space="preserve"> Res</w:t>
            </w: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</w:rPr>
              <w:t xml:space="preserve"> 2013;179:e219-25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b/>
                <w:bCs/>
                <w:color w:val="000000"/>
                <w:u w:color="000000"/>
                <w:bdr w:val="nil"/>
                <w:lang w:val="de-DE"/>
              </w:rPr>
              <w:t>Strong</w:t>
            </w:r>
          </w:p>
        </w:tc>
      </w:tr>
      <w:tr w:rsidR="000D1A08" w:rsidRPr="000D1A08" w:rsidTr="00E3660B">
        <w:trPr>
          <w:trHeight w:val="823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it-IT"/>
              </w:rPr>
              <w:t xml:space="preserve">Bruzzone A, Pinero CP, Castillo LF et al. </w:t>
            </w:r>
            <w:r w:rsidRPr="000D1A08">
              <w:rPr>
                <w:rFonts w:ascii="Arial" w:eastAsia="Cambria" w:hAnsi="Arial" w:cs="Cambria"/>
                <w:i/>
                <w:iCs/>
                <w:color w:val="000000"/>
                <w:u w:color="000000"/>
                <w:bdr w:val="nil"/>
              </w:rPr>
              <w:t>British journal of pharmacology</w:t>
            </w: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</w:rPr>
              <w:t xml:space="preserve"> 2008;155:494-504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b/>
                <w:bCs/>
                <w:color w:val="000000"/>
                <w:u w:color="000000"/>
                <w:bdr w:val="nil"/>
              </w:rPr>
              <w:t>Strong</w:t>
            </w:r>
          </w:p>
        </w:tc>
      </w:tr>
      <w:tr w:rsidR="000D1A08" w:rsidRPr="000D1A08" w:rsidTr="00E3660B">
        <w:trPr>
          <w:trHeight w:val="552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  <w:lang w:val="it-IT"/>
              </w:rPr>
              <w:t xml:space="preserve">Lai YC, Tsai PS, Huang CJ. </w:t>
            </w:r>
            <w:r w:rsidRPr="000D1A08">
              <w:rPr>
                <w:rFonts w:ascii="Arial" w:eastAsia="Cambria" w:hAnsi="Arial" w:cs="Cambria"/>
                <w:i/>
                <w:iCs/>
                <w:color w:val="000000"/>
                <w:u w:color="000000"/>
                <w:bdr w:val="nil"/>
              </w:rPr>
              <w:t xml:space="preserve">J </w:t>
            </w:r>
            <w:proofErr w:type="spellStart"/>
            <w:r w:rsidRPr="000D1A08">
              <w:rPr>
                <w:rFonts w:ascii="Arial" w:eastAsia="Cambria" w:hAnsi="Arial" w:cs="Cambria"/>
                <w:i/>
                <w:iCs/>
                <w:color w:val="000000"/>
                <w:u w:color="000000"/>
                <w:bdr w:val="nil"/>
              </w:rPr>
              <w:t>Surg</w:t>
            </w:r>
            <w:proofErr w:type="spellEnd"/>
            <w:r w:rsidRPr="000D1A08">
              <w:rPr>
                <w:rFonts w:ascii="Arial" w:eastAsia="Cambria" w:hAnsi="Arial" w:cs="Cambria"/>
                <w:i/>
                <w:iCs/>
                <w:color w:val="000000"/>
                <w:u w:color="000000"/>
                <w:bdr w:val="nil"/>
              </w:rPr>
              <w:t xml:space="preserve"> Res</w:t>
            </w:r>
            <w:r w:rsidRPr="000D1A08">
              <w:rPr>
                <w:rFonts w:ascii="Arial" w:eastAsia="Cambria" w:hAnsi="Arial" w:cs="Cambria"/>
                <w:color w:val="000000"/>
                <w:u w:color="000000"/>
                <w:bdr w:val="nil"/>
              </w:rPr>
              <w:t xml:space="preserve"> 2009;154:212-9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Arial" w:eastAsia="Cambria" w:hAnsi="Arial" w:cs="Cambria"/>
                <w:b/>
                <w:bCs/>
                <w:color w:val="000000"/>
                <w:u w:color="000000"/>
                <w:bdr w:val="nil"/>
                <w:lang w:val="de-DE"/>
              </w:rPr>
              <w:t>Average</w:t>
            </w:r>
          </w:p>
        </w:tc>
      </w:tr>
    </w:tbl>
    <w:p w:rsidR="000D1A08" w:rsidRPr="000D1A08" w:rsidRDefault="000D1A08" w:rsidP="000D1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mbria" w:eastAsia="Cambria" w:hAnsi="Cambria" w:cs="Cambria"/>
          <w:b/>
          <w:bCs/>
          <w:color w:val="000000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u w:color="000000"/>
          <w:bdr w:val="nil"/>
        </w:rPr>
      </w:pPr>
    </w:p>
    <w:tbl>
      <w:tblPr>
        <w:tblW w:w="10353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"/>
        <w:gridCol w:w="3096"/>
        <w:gridCol w:w="736"/>
        <w:gridCol w:w="737"/>
        <w:gridCol w:w="704"/>
        <w:gridCol w:w="160"/>
        <w:gridCol w:w="825"/>
        <w:gridCol w:w="521"/>
        <w:gridCol w:w="981"/>
        <w:gridCol w:w="2036"/>
      </w:tblGrid>
      <w:tr w:rsidR="000D1A08" w:rsidRPr="000D1A08" w:rsidTr="00E3660B">
        <w:trPr>
          <w:trHeight w:val="547"/>
        </w:trPr>
        <w:tc>
          <w:tcPr>
            <w:tcW w:w="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9796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GRADE Evidence Ranking Worksheet</w:t>
            </w:r>
          </w:p>
        </w:tc>
      </w:tr>
      <w:tr w:rsidR="000D1A08" w:rsidRPr="000D1A08" w:rsidTr="00E3660B">
        <w:trPr>
          <w:trHeight w:val="547"/>
        </w:trPr>
        <w:tc>
          <w:tcPr>
            <w:tcW w:w="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9796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SECTION: Dexamethasone and Cancer Recurrence</w:t>
            </w:r>
          </w:p>
        </w:tc>
      </w:tr>
      <w:tr w:rsidR="000D1A08" w:rsidRPr="000D1A08" w:rsidTr="00E3660B">
        <w:trPr>
          <w:trHeight w:val="812"/>
        </w:trPr>
        <w:tc>
          <w:tcPr>
            <w:tcW w:w="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Publication</w:t>
            </w:r>
          </w:p>
        </w:tc>
        <w:tc>
          <w:tcPr>
            <w:tcW w:w="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Proof level</w:t>
            </w:r>
          </w:p>
        </w:tc>
        <w:tc>
          <w:tcPr>
            <w:tcW w:w="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Risk Benefit ratio</w:t>
            </w:r>
          </w:p>
        </w:tc>
        <w:tc>
          <w:tcPr>
            <w:tcW w:w="8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Directness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Critical or Important</w:t>
            </w:r>
          </w:p>
        </w:tc>
        <w:tc>
          <w:tcPr>
            <w:tcW w:w="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Total</w:t>
            </w:r>
          </w:p>
        </w:tc>
        <w:tc>
          <w:tcPr>
            <w:tcW w:w="9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Type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Summary</w:t>
            </w:r>
          </w:p>
        </w:tc>
      </w:tr>
      <w:tr w:rsidR="000D1A08" w:rsidRPr="000D1A08" w:rsidTr="00E3660B">
        <w:trPr>
          <w:trHeight w:val="672"/>
        </w:trPr>
        <w:tc>
          <w:tcPr>
            <w:tcW w:w="365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+6 to -7</w:t>
            </w:r>
          </w:p>
        </w:tc>
        <w:tc>
          <w:tcPr>
            <w:tcW w:w="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+2 to -1</w:t>
            </w:r>
          </w:p>
        </w:tc>
        <w:tc>
          <w:tcPr>
            <w:tcW w:w="86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+2  or 0</w:t>
            </w:r>
          </w:p>
        </w:tc>
        <w:tc>
          <w:tcPr>
            <w:tcW w:w="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+3 to +1</w:t>
            </w:r>
          </w:p>
        </w:tc>
        <w:tc>
          <w:tcPr>
            <w:tcW w:w="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13 max</w:t>
            </w:r>
          </w:p>
        </w:tc>
        <w:tc>
          <w:tcPr>
            <w:tcW w:w="301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D1A08" w:rsidRPr="000D1A08" w:rsidTr="00E3660B">
        <w:trPr>
          <w:trHeight w:val="1112"/>
        </w:trPr>
        <w:tc>
          <w:tcPr>
            <w:tcW w:w="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Singh PP et al </w:t>
            </w:r>
            <w:hyperlink r:id="rId7" w:history="1">
              <w:r w:rsidRPr="000D1A08">
                <w:rPr>
                  <w:rFonts w:ascii="Arial" w:eastAsia="Arial" w:hAnsi="Arial" w:cs="Arial"/>
                  <w:color w:val="660066"/>
                  <w:sz w:val="17"/>
                  <w:szCs w:val="17"/>
                  <w:u w:val="single" w:color="660066"/>
                  <w:bdr w:val="nil"/>
                  <w:shd w:val="clear" w:color="auto" w:fill="FFFFFF"/>
                </w:rPr>
                <w:t xml:space="preserve">Br J </w:t>
              </w:r>
              <w:proofErr w:type="spellStart"/>
              <w:r w:rsidRPr="000D1A08">
                <w:rPr>
                  <w:rFonts w:ascii="Arial" w:eastAsia="Arial" w:hAnsi="Arial" w:cs="Arial"/>
                  <w:color w:val="660066"/>
                  <w:sz w:val="17"/>
                  <w:szCs w:val="17"/>
                  <w:u w:val="single" w:color="660066"/>
                  <w:bdr w:val="nil"/>
                  <w:shd w:val="clear" w:color="auto" w:fill="FFFFFF"/>
                </w:rPr>
                <w:t>Anaesth</w:t>
              </w:r>
              <w:proofErr w:type="spellEnd"/>
              <w:r w:rsidRPr="000D1A08">
                <w:rPr>
                  <w:rFonts w:ascii="Arial" w:eastAsia="Arial" w:hAnsi="Arial" w:cs="Arial"/>
                  <w:color w:val="660066"/>
                  <w:sz w:val="17"/>
                  <w:szCs w:val="17"/>
                  <w:u w:val="single" w:color="660066"/>
                  <w:bdr w:val="nil"/>
                  <w:shd w:val="clear" w:color="auto" w:fill="FFFFFF"/>
                </w:rPr>
                <w:t>.</w:t>
              </w:r>
            </w:hyperlink>
            <w:r w:rsidRPr="000D1A08">
              <w:rPr>
                <w:rFonts w:ascii="Arial" w:eastAsia="Cambria" w:hAnsi="Arial" w:cs="Cambria"/>
                <w:color w:val="000000"/>
                <w:sz w:val="17"/>
                <w:szCs w:val="17"/>
                <w:u w:color="000000"/>
                <w:bdr w:val="nil"/>
                <w:shd w:val="clear" w:color="auto" w:fill="FFFFFF"/>
              </w:rPr>
              <w:t xml:space="preserve"> 2014 Jul;113 </w:t>
            </w:r>
            <w:proofErr w:type="spellStart"/>
            <w:r w:rsidRPr="000D1A08">
              <w:rPr>
                <w:rFonts w:ascii="Arial" w:eastAsia="Cambria" w:hAnsi="Arial" w:cs="Cambria"/>
                <w:color w:val="000000"/>
                <w:sz w:val="17"/>
                <w:szCs w:val="17"/>
                <w:u w:color="000000"/>
                <w:bdr w:val="nil"/>
                <w:shd w:val="clear" w:color="auto" w:fill="FFFFFF"/>
              </w:rPr>
              <w:t>Suppl</w:t>
            </w:r>
            <w:proofErr w:type="spellEnd"/>
            <w:r w:rsidRPr="000D1A08">
              <w:rPr>
                <w:rFonts w:ascii="Arial" w:eastAsia="Cambria" w:hAnsi="Arial" w:cs="Cambria"/>
                <w:color w:val="000000"/>
                <w:sz w:val="17"/>
                <w:szCs w:val="17"/>
                <w:u w:color="000000"/>
                <w:bdr w:val="nil"/>
                <w:shd w:val="clear" w:color="auto" w:fill="FFFFFF"/>
              </w:rPr>
              <w:t xml:space="preserve"> 1:i68-73.</w:t>
            </w:r>
          </w:p>
        </w:tc>
        <w:tc>
          <w:tcPr>
            <w:tcW w:w="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4</w:t>
            </w:r>
          </w:p>
        </w:tc>
        <w:tc>
          <w:tcPr>
            <w:tcW w:w="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-1</w:t>
            </w:r>
          </w:p>
        </w:tc>
        <w:tc>
          <w:tcPr>
            <w:tcW w:w="7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5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6</w:t>
            </w:r>
          </w:p>
        </w:tc>
        <w:tc>
          <w:tcPr>
            <w:tcW w:w="9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RCT</w:t>
            </w:r>
          </w:p>
        </w:tc>
        <w:tc>
          <w:tcPr>
            <w:tcW w:w="20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Higher rate of distant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mets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with dexamethasone following colectomy </w:t>
            </w:r>
          </w:p>
        </w:tc>
      </w:tr>
    </w:tbl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Default="000D1A08">
      <w:pPr>
        <w:rPr>
          <w:rFonts w:ascii="Cambria" w:eastAsia="Cambria" w:hAnsi="Cambria" w:cs="Cambria"/>
          <w:color w:val="000000"/>
          <w:u w:color="000000"/>
          <w:bdr w:val="nil"/>
        </w:rPr>
      </w:pPr>
      <w:r>
        <w:rPr>
          <w:rFonts w:ascii="Cambria" w:eastAsia="Cambria" w:hAnsi="Cambria" w:cs="Cambria"/>
          <w:color w:val="000000"/>
          <w:u w:color="000000"/>
          <w:bdr w:val="nil"/>
        </w:rPr>
        <w:br w:type="page"/>
      </w: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u w:color="000000"/>
          <w:bdr w:val="nil"/>
        </w:rPr>
      </w:pPr>
    </w:p>
    <w:tbl>
      <w:tblPr>
        <w:tblW w:w="10638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"/>
        <w:gridCol w:w="3125"/>
        <w:gridCol w:w="756"/>
        <w:gridCol w:w="757"/>
        <w:gridCol w:w="723"/>
        <w:gridCol w:w="164"/>
        <w:gridCol w:w="848"/>
        <w:gridCol w:w="535"/>
        <w:gridCol w:w="1008"/>
        <w:gridCol w:w="2092"/>
      </w:tblGrid>
      <w:tr w:rsidR="000D1A08" w:rsidRPr="000D1A08" w:rsidTr="00E3660B">
        <w:trPr>
          <w:trHeight w:val="45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008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GRADE Evidence Ranking Worksheet</w:t>
            </w:r>
          </w:p>
        </w:tc>
      </w:tr>
      <w:tr w:rsidR="000D1A08" w:rsidRPr="000D1A08" w:rsidTr="00E3660B">
        <w:trPr>
          <w:trHeight w:val="45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008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SECTION: </w:t>
            </w:r>
            <w:r w:rsidRPr="000D1A0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Perioperative Regional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Anaesthesia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and Cancer Recurrence</w:t>
            </w:r>
          </w:p>
        </w:tc>
      </w:tr>
      <w:tr w:rsidR="000D1A08" w:rsidRPr="000D1A08" w:rsidTr="00E3660B">
        <w:trPr>
          <w:trHeight w:val="812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Publication</w:t>
            </w:r>
          </w:p>
        </w:tc>
        <w:tc>
          <w:tcPr>
            <w:tcW w:w="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Proof level</w:t>
            </w:r>
          </w:p>
        </w:tc>
        <w:tc>
          <w:tcPr>
            <w:tcW w:w="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Risk Benefit ratio</w:t>
            </w:r>
          </w:p>
        </w:tc>
        <w:tc>
          <w:tcPr>
            <w:tcW w:w="8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Directness</w:t>
            </w:r>
          </w:p>
        </w:tc>
        <w:tc>
          <w:tcPr>
            <w:tcW w:w="8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Critical or Important</w:t>
            </w:r>
          </w:p>
        </w:tc>
        <w:tc>
          <w:tcPr>
            <w:tcW w:w="5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Total</w:t>
            </w:r>
          </w:p>
        </w:tc>
        <w:tc>
          <w:tcPr>
            <w:tcW w:w="10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Type</w:t>
            </w:r>
          </w:p>
        </w:tc>
        <w:tc>
          <w:tcPr>
            <w:tcW w:w="2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Summary</w:t>
            </w:r>
          </w:p>
        </w:tc>
      </w:tr>
      <w:tr w:rsidR="000D1A08" w:rsidRPr="000D1A08" w:rsidTr="00E3660B">
        <w:trPr>
          <w:trHeight w:val="672"/>
        </w:trPr>
        <w:tc>
          <w:tcPr>
            <w:tcW w:w="375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+6 to -7</w:t>
            </w:r>
          </w:p>
        </w:tc>
        <w:tc>
          <w:tcPr>
            <w:tcW w:w="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+2 to -1</w:t>
            </w:r>
          </w:p>
        </w:tc>
        <w:tc>
          <w:tcPr>
            <w:tcW w:w="8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+2  or 0</w:t>
            </w:r>
          </w:p>
        </w:tc>
        <w:tc>
          <w:tcPr>
            <w:tcW w:w="8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+3 to +1</w:t>
            </w:r>
          </w:p>
        </w:tc>
        <w:tc>
          <w:tcPr>
            <w:tcW w:w="5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FF0000"/>
                <w:sz w:val="20"/>
                <w:szCs w:val="20"/>
                <w:u w:color="FF0000"/>
                <w:bdr w:val="nil"/>
              </w:rPr>
              <w:t>13 max</w:t>
            </w:r>
          </w:p>
        </w:tc>
        <w:tc>
          <w:tcPr>
            <w:tcW w:w="310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D1A08" w:rsidRPr="000D1A08" w:rsidTr="00E3660B">
        <w:trPr>
          <w:trHeight w:val="1112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7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ab/>
            </w:r>
            <w:hyperlink r:id="rId8" w:history="1">
              <w:proofErr w:type="spellStart"/>
              <w:r w:rsidRPr="000D1A08">
                <w:rPr>
                  <w:rFonts w:ascii="Times New Roman" w:eastAsia="Cambria" w:hAnsi="Times New Roman" w:cs="Times New Roman"/>
                  <w:color w:val="262626"/>
                  <w:sz w:val="18"/>
                  <w:szCs w:val="18"/>
                  <w:u w:color="262626"/>
                  <w:bdr w:val="nil"/>
                </w:rPr>
                <w:t>Exadaktylos</w:t>
              </w:r>
              <w:proofErr w:type="spellEnd"/>
              <w:r w:rsidRPr="000D1A08">
                <w:rPr>
                  <w:rFonts w:ascii="Times New Roman" w:eastAsia="Cambria" w:hAnsi="Times New Roman" w:cs="Times New Roman"/>
                  <w:color w:val="262626"/>
                  <w:sz w:val="18"/>
                  <w:szCs w:val="18"/>
                  <w:u w:color="262626"/>
                  <w:bdr w:val="nil"/>
                </w:rPr>
                <w:t xml:space="preserve"> AK</w:t>
              </w:r>
            </w:hyperlink>
            <w:r w:rsidRPr="000D1A08">
              <w:rPr>
                <w:rFonts w:ascii="Times New Roman" w:eastAsia="Cambria" w:hAnsi="Times New Roman" w:cs="Times New Roman"/>
                <w:color w:val="262626"/>
                <w:sz w:val="18"/>
                <w:szCs w:val="18"/>
                <w:u w:color="262626"/>
                <w:bdr w:val="nil"/>
              </w:rPr>
              <w:t xml:space="preserve"> et al </w:t>
            </w:r>
            <w:r w:rsidRPr="000D1A0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Pr="000D1A08">
              <w:rPr>
                <w:rFonts w:ascii="Times New Roman" w:eastAsia="Cambria" w:hAnsi="Times New Roman" w:cs="Times New Roman"/>
                <w:color w:val="262626"/>
                <w:sz w:val="18"/>
                <w:szCs w:val="18"/>
                <w:u w:color="262626"/>
                <w:bdr w:val="nil"/>
              </w:rPr>
              <w:t>Anesthesiology. 2006 Oct;105(4):660-4.</w:t>
            </w:r>
          </w:p>
        </w:tc>
        <w:tc>
          <w:tcPr>
            <w:tcW w:w="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7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8</w:t>
            </w:r>
          </w:p>
        </w:tc>
        <w:tc>
          <w:tcPr>
            <w:tcW w:w="10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Follow up analysis of RCT</w:t>
            </w:r>
          </w:p>
        </w:tc>
        <w:tc>
          <w:tcPr>
            <w:tcW w:w="2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Paravertebral block at time of resections reduced breast cancer recurrence</w:t>
            </w:r>
          </w:p>
        </w:tc>
      </w:tr>
      <w:tr w:rsidR="000D1A08" w:rsidRPr="000D1A08" w:rsidTr="00E3660B">
        <w:trPr>
          <w:trHeight w:val="1112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Biki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et al </w:t>
            </w:r>
            <w:r w:rsidRPr="000D1A0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Anesthesiology 2008; 109: 180–7.</w:t>
            </w:r>
          </w:p>
        </w:tc>
        <w:tc>
          <w:tcPr>
            <w:tcW w:w="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7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8</w:t>
            </w:r>
          </w:p>
        </w:tc>
        <w:tc>
          <w:tcPr>
            <w:tcW w:w="10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Follow up analysis of RCT</w:t>
            </w:r>
          </w:p>
        </w:tc>
        <w:tc>
          <w:tcPr>
            <w:tcW w:w="2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Epidural reduced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biochemiocal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recurrence of prostate ca</w:t>
            </w:r>
          </w:p>
        </w:tc>
      </w:tr>
      <w:tr w:rsidR="000D1A08" w:rsidRPr="000D1A08" w:rsidTr="00E3660B">
        <w:trPr>
          <w:trHeight w:val="1332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Hiller JG et al </w:t>
            </w:r>
            <w:hyperlink r:id="rId9" w:history="1">
              <w:proofErr w:type="spellStart"/>
              <w:r w:rsidRPr="000D1A08">
                <w:rPr>
                  <w:rFonts w:ascii="Arial" w:eastAsia="Arial" w:hAnsi="Arial" w:cs="Arial"/>
                  <w:color w:val="660066"/>
                  <w:sz w:val="17"/>
                  <w:szCs w:val="17"/>
                  <w:u w:val="single" w:color="660066"/>
                  <w:bdr w:val="nil"/>
                  <w:shd w:val="clear" w:color="auto" w:fill="FFFFFF"/>
                </w:rPr>
                <w:t>Acta</w:t>
              </w:r>
              <w:proofErr w:type="spellEnd"/>
              <w:r w:rsidRPr="000D1A08">
                <w:rPr>
                  <w:rFonts w:ascii="Arial" w:eastAsia="Arial" w:hAnsi="Arial" w:cs="Arial"/>
                  <w:color w:val="660066"/>
                  <w:sz w:val="17"/>
                  <w:szCs w:val="17"/>
                  <w:u w:val="single" w:color="660066"/>
                  <w:bdr w:val="nil"/>
                  <w:shd w:val="clear" w:color="auto" w:fill="FFFFFF"/>
                </w:rPr>
                <w:t xml:space="preserve"> </w:t>
              </w:r>
              <w:proofErr w:type="spellStart"/>
              <w:r w:rsidRPr="000D1A08">
                <w:rPr>
                  <w:rFonts w:ascii="Arial" w:eastAsia="Arial" w:hAnsi="Arial" w:cs="Arial"/>
                  <w:color w:val="660066"/>
                  <w:sz w:val="17"/>
                  <w:szCs w:val="17"/>
                  <w:u w:val="single" w:color="660066"/>
                  <w:bdr w:val="nil"/>
                  <w:shd w:val="clear" w:color="auto" w:fill="FFFFFF"/>
                </w:rPr>
                <w:t>Anaesthesiol</w:t>
              </w:r>
              <w:proofErr w:type="spellEnd"/>
              <w:r w:rsidRPr="000D1A08">
                <w:rPr>
                  <w:rFonts w:ascii="Arial" w:eastAsia="Arial" w:hAnsi="Arial" w:cs="Arial"/>
                  <w:color w:val="660066"/>
                  <w:sz w:val="17"/>
                  <w:szCs w:val="17"/>
                  <w:u w:val="single" w:color="660066"/>
                  <w:bdr w:val="nil"/>
                  <w:shd w:val="clear" w:color="auto" w:fill="FFFFFF"/>
                </w:rPr>
                <w:t xml:space="preserve"> Scand.</w:t>
              </w:r>
            </w:hyperlink>
            <w:r w:rsidRPr="000D1A08">
              <w:rPr>
                <w:rFonts w:ascii="Arial" w:eastAsia="Cambria" w:hAnsi="Arial" w:cs="Cambria"/>
                <w:color w:val="000000"/>
                <w:sz w:val="17"/>
                <w:szCs w:val="17"/>
                <w:u w:color="000000"/>
                <w:bdr w:val="nil"/>
                <w:shd w:val="clear" w:color="auto" w:fill="FFFFFF"/>
              </w:rPr>
              <w:t> 2014 Mar;58(3):281-90</w:t>
            </w:r>
          </w:p>
        </w:tc>
        <w:tc>
          <w:tcPr>
            <w:tcW w:w="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7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5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10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Retrospective</w:t>
            </w:r>
          </w:p>
        </w:tc>
        <w:tc>
          <w:tcPr>
            <w:tcW w:w="2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Improved medium term survival and recurrence with epidural for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oesophageal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surgery.</w:t>
            </w:r>
          </w:p>
        </w:tc>
      </w:tr>
      <w:tr w:rsidR="000D1A08" w:rsidRPr="000D1A08" w:rsidTr="00E3660B">
        <w:trPr>
          <w:trHeight w:val="1112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31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Lacassie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et al </w:t>
            </w:r>
            <w:hyperlink r:id="rId10" w:history="1">
              <w:proofErr w:type="spellStart"/>
              <w:r w:rsidRPr="000D1A08">
                <w:rPr>
                  <w:rFonts w:ascii="Times New Roman" w:eastAsia="Cambria" w:hAnsi="Times New Roman" w:cs="Cambria"/>
                  <w:color w:val="0000FF"/>
                  <w:sz w:val="18"/>
                  <w:szCs w:val="18"/>
                  <w:u w:val="single" w:color="0000FF"/>
                  <w:bdr w:val="nil"/>
                  <w:shd w:val="clear" w:color="auto" w:fill="FFFFFF"/>
                </w:rPr>
                <w:t>Anesth</w:t>
              </w:r>
              <w:proofErr w:type="spellEnd"/>
              <w:r w:rsidRPr="000D1A08">
                <w:rPr>
                  <w:rFonts w:ascii="Times New Roman" w:eastAsia="Cambria" w:hAnsi="Times New Roman" w:cs="Cambria"/>
                  <w:color w:val="0000FF"/>
                  <w:sz w:val="18"/>
                  <w:szCs w:val="18"/>
                  <w:u w:val="single" w:color="0000FF"/>
                  <w:bdr w:val="nil"/>
                  <w:shd w:val="clear" w:color="auto" w:fill="FFFFFF"/>
                </w:rPr>
                <w:t xml:space="preserve"> </w:t>
              </w:r>
              <w:proofErr w:type="spellStart"/>
              <w:r w:rsidRPr="000D1A08">
                <w:rPr>
                  <w:rFonts w:ascii="Times New Roman" w:eastAsia="Cambria" w:hAnsi="Times New Roman" w:cs="Cambria"/>
                  <w:color w:val="0000FF"/>
                  <w:sz w:val="18"/>
                  <w:szCs w:val="18"/>
                  <w:u w:val="single" w:color="0000FF"/>
                  <w:bdr w:val="nil"/>
                  <w:shd w:val="clear" w:color="auto" w:fill="FFFFFF"/>
                </w:rPr>
                <w:t>Analg</w:t>
              </w:r>
              <w:proofErr w:type="spellEnd"/>
              <w:r w:rsidRPr="000D1A08">
                <w:rPr>
                  <w:rFonts w:ascii="Times New Roman" w:eastAsia="Cambria" w:hAnsi="Times New Roman" w:cs="Cambria"/>
                  <w:color w:val="0000FF"/>
                  <w:sz w:val="18"/>
                  <w:szCs w:val="18"/>
                  <w:u w:val="single" w:color="0000FF"/>
                  <w:bdr w:val="nil"/>
                  <w:shd w:val="clear" w:color="auto" w:fill="FFFFFF"/>
                </w:rPr>
                <w:t>.</w:t>
              </w:r>
            </w:hyperlink>
            <w:r w:rsidRPr="000D1A08">
              <w:rPr>
                <w:rFonts w:ascii="Times New Roman" w:eastAsia="Cambria" w:hAnsi="Times New Roman" w:cs="Cambria"/>
                <w:color w:val="000000"/>
                <w:sz w:val="18"/>
                <w:szCs w:val="18"/>
                <w:u w:color="000000"/>
                <w:bdr w:val="nil"/>
                <w:shd w:val="clear" w:color="auto" w:fill="FFFFFF"/>
              </w:rPr>
              <w:t> 2013 Sep;117(3):653-60. </w:t>
            </w:r>
          </w:p>
        </w:tc>
        <w:tc>
          <w:tcPr>
            <w:tcW w:w="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7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-1</w:t>
            </w:r>
          </w:p>
        </w:tc>
        <w:tc>
          <w:tcPr>
            <w:tcW w:w="7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5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4</w:t>
            </w:r>
          </w:p>
        </w:tc>
        <w:tc>
          <w:tcPr>
            <w:tcW w:w="10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Retrospective analysis of register</w:t>
            </w:r>
          </w:p>
        </w:tc>
        <w:tc>
          <w:tcPr>
            <w:tcW w:w="20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No benefit of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neuraxial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anaesthesia</w:t>
            </w:r>
            <w:proofErr w:type="spellEnd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 xml:space="preserve"> for ovarian </w:t>
            </w:r>
            <w:proofErr w:type="spellStart"/>
            <w:r w:rsidRPr="000D1A08"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</w:rPr>
              <w:t>tumours</w:t>
            </w:r>
            <w:proofErr w:type="spellEnd"/>
          </w:p>
        </w:tc>
      </w:tr>
    </w:tbl>
    <w:tbl>
      <w:tblPr>
        <w:tblpPr w:leftFromText="180" w:rightFromText="180" w:vertAnchor="text" w:horzAnchor="margin" w:tblpY="-5762"/>
        <w:tblW w:w="105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0"/>
        <w:gridCol w:w="1680"/>
        <w:gridCol w:w="160"/>
        <w:gridCol w:w="631"/>
        <w:gridCol w:w="636"/>
        <w:gridCol w:w="592"/>
        <w:gridCol w:w="160"/>
        <w:gridCol w:w="813"/>
        <w:gridCol w:w="160"/>
        <w:gridCol w:w="467"/>
        <w:gridCol w:w="160"/>
        <w:gridCol w:w="711"/>
        <w:gridCol w:w="2160"/>
        <w:gridCol w:w="1530"/>
      </w:tblGrid>
      <w:tr w:rsidR="000D1A08" w:rsidRPr="000D1A08" w:rsidTr="00E3660B">
        <w:trPr>
          <w:trHeight w:val="440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9860" w:type="dxa"/>
            <w:gridSpan w:val="1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GRADE Evidence Ranking Worksheet</w:t>
            </w:r>
          </w:p>
        </w:tc>
      </w:tr>
      <w:tr w:rsidR="000D1A08" w:rsidRPr="000D1A08" w:rsidTr="00E3660B">
        <w:trPr>
          <w:trHeight w:val="440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8330" w:type="dxa"/>
            <w:gridSpan w:val="1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 xml:space="preserve">SECTION: </w:t>
            </w:r>
            <w:proofErr w:type="spellStart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Neuraxial</w:t>
            </w:r>
            <w:proofErr w:type="spellEnd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 xml:space="preserve"> Analgesia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2"/>
                <w:szCs w:val="12"/>
                <w:u w:color="000000"/>
                <w:bdr w:val="nil"/>
              </w:rPr>
              <w:t>RECOMMENDATION</w:t>
            </w:r>
          </w:p>
        </w:tc>
      </w:tr>
      <w:tr w:rsidR="000D1A08" w:rsidRPr="000D1A08" w:rsidTr="00E3660B">
        <w:trPr>
          <w:trHeight w:val="818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Publication</w:t>
            </w:r>
          </w:p>
        </w:tc>
        <w:tc>
          <w:tcPr>
            <w:tcW w:w="6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Proof level</w:t>
            </w:r>
          </w:p>
        </w:tc>
        <w:tc>
          <w:tcPr>
            <w:tcW w:w="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Risk Benefit ratio</w:t>
            </w:r>
          </w:p>
        </w:tc>
        <w:tc>
          <w:tcPr>
            <w:tcW w:w="75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Directness</w:t>
            </w:r>
          </w:p>
        </w:tc>
        <w:tc>
          <w:tcPr>
            <w:tcW w:w="97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Critical or Important</w:t>
            </w:r>
          </w:p>
        </w:tc>
        <w:tc>
          <w:tcPr>
            <w:tcW w:w="4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Total</w:t>
            </w:r>
          </w:p>
        </w:tc>
        <w:tc>
          <w:tcPr>
            <w:tcW w:w="87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Type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Summary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D1A08" w:rsidRPr="000D1A08" w:rsidTr="00E3660B">
        <w:trPr>
          <w:trHeight w:val="620"/>
        </w:trPr>
        <w:tc>
          <w:tcPr>
            <w:tcW w:w="250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6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FF0000"/>
                <w:sz w:val="18"/>
                <w:szCs w:val="18"/>
                <w:u w:color="FF0000"/>
                <w:bdr w:val="nil"/>
              </w:rPr>
              <w:t>+6 to -7</w:t>
            </w:r>
          </w:p>
        </w:tc>
        <w:tc>
          <w:tcPr>
            <w:tcW w:w="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FF0000"/>
                <w:sz w:val="18"/>
                <w:szCs w:val="18"/>
                <w:u w:color="FF0000"/>
                <w:bdr w:val="nil"/>
              </w:rPr>
              <w:t>+2 to -1</w:t>
            </w:r>
          </w:p>
        </w:tc>
        <w:tc>
          <w:tcPr>
            <w:tcW w:w="75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FF0000"/>
                <w:sz w:val="18"/>
                <w:szCs w:val="18"/>
                <w:u w:color="FF0000"/>
                <w:bdr w:val="nil"/>
              </w:rPr>
              <w:t>+2  or 0</w:t>
            </w:r>
          </w:p>
        </w:tc>
        <w:tc>
          <w:tcPr>
            <w:tcW w:w="97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FF0000"/>
                <w:sz w:val="18"/>
                <w:szCs w:val="18"/>
                <w:u w:color="FF0000"/>
                <w:bdr w:val="nil"/>
              </w:rPr>
              <w:t>+3 to +1</w:t>
            </w:r>
          </w:p>
        </w:tc>
        <w:tc>
          <w:tcPr>
            <w:tcW w:w="4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FF0000"/>
                <w:sz w:val="18"/>
                <w:szCs w:val="18"/>
                <w:u w:color="FF0000"/>
                <w:bdr w:val="nil"/>
              </w:rPr>
              <w:t>13 max</w:t>
            </w:r>
          </w:p>
        </w:tc>
        <w:tc>
          <w:tcPr>
            <w:tcW w:w="303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0D1A08" w:rsidRPr="000D1A08" w:rsidTr="00E3660B">
        <w:trPr>
          <w:trHeight w:val="1220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  <w:lang w:val="da-DK"/>
              </w:rPr>
              <w:t xml:space="preserve">Dong H, et al </w:t>
            </w:r>
            <w:r w:rsidRPr="000D1A08">
              <w:rPr>
                <w:rFonts w:ascii="Georgia" w:eastAsia="Cambria" w:hAnsi="Georgia" w:cs="Cambria"/>
                <w:i/>
                <w:iCs/>
                <w:color w:val="000000"/>
                <w:sz w:val="18"/>
                <w:szCs w:val="18"/>
                <w:u w:color="000000"/>
                <w:bdr w:val="nil"/>
                <w:lang w:val="fr-FR"/>
              </w:rPr>
              <w:t xml:space="preserve">J Int Med </w:t>
            </w:r>
            <w:proofErr w:type="spellStart"/>
            <w:r w:rsidRPr="000D1A08">
              <w:rPr>
                <w:rFonts w:ascii="Georgia" w:eastAsia="Cambria" w:hAnsi="Georgia" w:cs="Cambria"/>
                <w:i/>
                <w:iCs/>
                <w:color w:val="000000"/>
                <w:sz w:val="18"/>
                <w:szCs w:val="18"/>
                <w:u w:color="000000"/>
                <w:bdr w:val="nil"/>
                <w:lang w:val="fr-FR"/>
              </w:rPr>
              <w:t>Res</w:t>
            </w:r>
            <w:proofErr w:type="spellEnd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 xml:space="preserve"> 2012;40:1822-1829</w:t>
            </w:r>
          </w:p>
        </w:tc>
        <w:tc>
          <w:tcPr>
            <w:tcW w:w="6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3</w:t>
            </w:r>
          </w:p>
        </w:tc>
        <w:tc>
          <w:tcPr>
            <w:tcW w:w="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4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8</w:t>
            </w:r>
          </w:p>
        </w:tc>
        <w:tc>
          <w:tcPr>
            <w:tcW w:w="87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RCT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 xml:space="preserve">Protective effects of epidural </w:t>
            </w:r>
            <w:proofErr w:type="spellStart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anaesthesia</w:t>
            </w:r>
            <w:proofErr w:type="spellEnd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 xml:space="preserve"> on natural killer cell activity and cytokine response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WEAK FOR USING</w:t>
            </w:r>
          </w:p>
        </w:tc>
      </w:tr>
      <w:tr w:rsidR="000D1A08" w:rsidRPr="000D1A08" w:rsidTr="00E3660B">
        <w:trPr>
          <w:trHeight w:val="1420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 xml:space="preserve">Li JM, </w:t>
            </w:r>
            <w:proofErr w:type="spellStart"/>
            <w:r w:rsidRPr="000D1A08">
              <w:rPr>
                <w:rFonts w:ascii="Georgia" w:eastAsia="Cambria" w:hAnsi="Georgia" w:cs="Cambria"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Eur</w:t>
            </w:r>
            <w:proofErr w:type="spellEnd"/>
            <w:r w:rsidRPr="000D1A08">
              <w:rPr>
                <w:rFonts w:ascii="Georgia" w:eastAsia="Cambria" w:hAnsi="Georgia" w:cs="Cambria"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J </w:t>
            </w:r>
            <w:proofErr w:type="spellStart"/>
            <w:r w:rsidRPr="000D1A08">
              <w:rPr>
                <w:rFonts w:ascii="Georgia" w:eastAsia="Cambria" w:hAnsi="Georgia" w:cs="Cambria"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Gynaecol</w:t>
            </w:r>
            <w:proofErr w:type="spellEnd"/>
            <w:r w:rsidRPr="000D1A08">
              <w:rPr>
                <w:rFonts w:ascii="Georgia" w:eastAsia="Cambria" w:hAnsi="Georgia" w:cs="Cambria"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proofErr w:type="spellStart"/>
            <w:r w:rsidRPr="000D1A08">
              <w:rPr>
                <w:rFonts w:ascii="Georgia" w:eastAsia="Cambria" w:hAnsi="Georgia" w:cs="Cambria"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Oncol</w:t>
            </w:r>
            <w:proofErr w:type="spellEnd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 xml:space="preserve"> 2015;36:703-7.</w:t>
            </w:r>
          </w:p>
        </w:tc>
        <w:tc>
          <w:tcPr>
            <w:tcW w:w="6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3</w:t>
            </w:r>
          </w:p>
        </w:tc>
        <w:tc>
          <w:tcPr>
            <w:tcW w:w="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4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8</w:t>
            </w:r>
          </w:p>
        </w:tc>
        <w:tc>
          <w:tcPr>
            <w:tcW w:w="87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RCT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Protective effect of epidural analgesia on natural killer cell function and IL-2. Also, EA showed anti-inflammatory effects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WEAK FOR USING</w:t>
            </w:r>
          </w:p>
        </w:tc>
      </w:tr>
      <w:tr w:rsidR="000D1A08" w:rsidRPr="000D1A08" w:rsidTr="00E3660B">
        <w:trPr>
          <w:trHeight w:val="620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  <w:lang w:val="fr-FR"/>
              </w:rPr>
              <w:t>Fares</w:t>
            </w:r>
            <w:proofErr w:type="spellEnd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  <w:lang w:val="fr-FR"/>
              </w:rPr>
              <w:t xml:space="preserve"> KM, et al</w:t>
            </w:r>
            <w:r w:rsidRPr="000D1A08">
              <w:rPr>
                <w:rFonts w:ascii="Georgia" w:eastAsia="Cambria" w:hAnsi="Georgia" w:cs="Cambria"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Pain Physician</w:t>
            </w: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 xml:space="preserve"> 2014;17:305-15.</w:t>
            </w:r>
          </w:p>
        </w:tc>
        <w:tc>
          <w:tcPr>
            <w:tcW w:w="6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3</w:t>
            </w:r>
          </w:p>
        </w:tc>
        <w:tc>
          <w:tcPr>
            <w:tcW w:w="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4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7</w:t>
            </w:r>
          </w:p>
        </w:tc>
        <w:tc>
          <w:tcPr>
            <w:tcW w:w="87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RCT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 xml:space="preserve">Protective effects of epidural </w:t>
            </w:r>
            <w:proofErr w:type="spellStart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anaesthesia</w:t>
            </w:r>
            <w:proofErr w:type="spellEnd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 xml:space="preserve"> on cytokine response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WEAK FOR USING</w:t>
            </w:r>
          </w:p>
        </w:tc>
      </w:tr>
      <w:tr w:rsidR="000D1A08" w:rsidRPr="000D1A08" w:rsidTr="00E3660B">
        <w:trPr>
          <w:trHeight w:val="820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  <w:lang w:val="da-DK"/>
              </w:rPr>
              <w:t xml:space="preserve">Kun L, et al </w:t>
            </w:r>
            <w:proofErr w:type="spellStart"/>
            <w:r w:rsidRPr="000D1A08">
              <w:rPr>
                <w:rFonts w:ascii="Georgia" w:eastAsia="Cambria" w:hAnsi="Georgia" w:cs="Cambria"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Hepatogastroenterology</w:t>
            </w:r>
            <w:proofErr w:type="spellEnd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 xml:space="preserve"> 2014;61:1142-7.</w:t>
            </w:r>
          </w:p>
        </w:tc>
        <w:tc>
          <w:tcPr>
            <w:tcW w:w="6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3</w:t>
            </w:r>
          </w:p>
        </w:tc>
        <w:tc>
          <w:tcPr>
            <w:tcW w:w="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4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7</w:t>
            </w:r>
          </w:p>
        </w:tc>
        <w:tc>
          <w:tcPr>
            <w:tcW w:w="87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RCT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Effect of anesthetic technique on NK cell activity and cytokine response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WEAK FOR USING</w:t>
            </w:r>
          </w:p>
        </w:tc>
      </w:tr>
      <w:tr w:rsidR="000D1A08" w:rsidRPr="000D1A08" w:rsidTr="00E3660B">
        <w:trPr>
          <w:trHeight w:val="1020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</w:p>
        </w:tc>
        <w:tc>
          <w:tcPr>
            <w:tcW w:w="1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  <w:lang w:val="fr-FR"/>
              </w:rPr>
              <w:t>Fant</w:t>
            </w:r>
            <w:proofErr w:type="spellEnd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  <w:lang w:val="fr-FR"/>
              </w:rPr>
              <w:t xml:space="preserve"> F, et al. </w:t>
            </w:r>
            <w:r w:rsidRPr="000D1A08">
              <w:rPr>
                <w:rFonts w:ascii="Georgia" w:eastAsia="Cambria" w:hAnsi="Georgia" w:cs="Cambria"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Br J </w:t>
            </w:r>
            <w:proofErr w:type="spellStart"/>
            <w:r w:rsidRPr="000D1A08">
              <w:rPr>
                <w:rFonts w:ascii="Georgia" w:eastAsia="Cambria" w:hAnsi="Georgia" w:cs="Cambria"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Anaesth</w:t>
            </w:r>
            <w:proofErr w:type="spellEnd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 xml:space="preserve"> 2013;110:747-57</w:t>
            </w:r>
          </w:p>
        </w:tc>
        <w:tc>
          <w:tcPr>
            <w:tcW w:w="79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3</w:t>
            </w:r>
          </w:p>
        </w:tc>
        <w:tc>
          <w:tcPr>
            <w:tcW w:w="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1</w:t>
            </w:r>
          </w:p>
        </w:tc>
        <w:tc>
          <w:tcPr>
            <w:tcW w:w="5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2</w:t>
            </w:r>
          </w:p>
        </w:tc>
        <w:tc>
          <w:tcPr>
            <w:tcW w:w="78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8</w:t>
            </w:r>
          </w:p>
        </w:tc>
        <w:tc>
          <w:tcPr>
            <w:tcW w:w="7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RCT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 xml:space="preserve">No protective effects of epidural </w:t>
            </w:r>
            <w:proofErr w:type="spellStart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anaesthesia</w:t>
            </w:r>
            <w:proofErr w:type="spellEnd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 xml:space="preserve"> on cytokine response except for IL-17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WEAK FOR USING</w:t>
            </w:r>
          </w:p>
        </w:tc>
      </w:tr>
    </w:tbl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u w:color="000000"/>
          <w:bdr w:val="nil"/>
        </w:rPr>
      </w:pPr>
    </w:p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bCs/>
          <w:color w:val="000000"/>
          <w:u w:color="000000"/>
          <w:bdr w:val="nil"/>
        </w:rPr>
      </w:pPr>
      <w:r w:rsidRPr="000D1A08">
        <w:rPr>
          <w:rFonts w:ascii="Cambria" w:eastAsia="Cambria" w:hAnsi="Cambria" w:cs="Cambria"/>
          <w:b/>
          <w:bCs/>
          <w:color w:val="000000"/>
          <w:u w:color="000000"/>
          <w:bdr w:val="nil"/>
          <w:lang w:val="de-DE"/>
        </w:rPr>
        <w:t>Cell Studies (Neuraxial):</w:t>
      </w:r>
    </w:p>
    <w:tbl>
      <w:tblPr>
        <w:tblpPr w:leftFromText="180" w:rightFromText="180" w:vertAnchor="text" w:tblpY="296"/>
        <w:tblW w:w="97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69"/>
        <w:gridCol w:w="2659"/>
        <w:gridCol w:w="3175"/>
      </w:tblGrid>
      <w:tr w:rsidR="000D1A08" w:rsidRPr="000D1A08" w:rsidTr="00E3660B">
        <w:trPr>
          <w:trHeight w:val="309"/>
        </w:trPr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 xml:space="preserve">SECTION: </w:t>
            </w:r>
            <w:proofErr w:type="spellStart"/>
            <w:r w:rsidRPr="000D1A08">
              <w:rPr>
                <w:rFonts w:ascii="Georgia" w:eastAsia="Calibri" w:hAnsi="Georgia" w:cs="Calibri"/>
                <w:b/>
                <w:bCs/>
                <w:color w:val="D05C12"/>
                <w:sz w:val="18"/>
                <w:szCs w:val="18"/>
                <w:u w:color="D05C12"/>
                <w:bdr w:val="nil"/>
              </w:rPr>
              <w:t>Neuraxial</w:t>
            </w:r>
            <w:proofErr w:type="spellEnd"/>
            <w:r w:rsidRPr="000D1A08">
              <w:rPr>
                <w:rFonts w:ascii="Georgia" w:eastAsia="Calibri" w:hAnsi="Georgia" w:cs="Calibri"/>
                <w:b/>
                <w:bCs/>
                <w:color w:val="D05C12"/>
                <w:sz w:val="18"/>
                <w:szCs w:val="18"/>
                <w:u w:color="D05C12"/>
                <w:bdr w:val="nil"/>
              </w:rPr>
              <w:t xml:space="preserve"> Techniques &amp; Cancer Recurrence</w:t>
            </w:r>
          </w:p>
        </w:tc>
      </w:tr>
      <w:tr w:rsidR="000D1A08" w:rsidRPr="000D1A08" w:rsidTr="00E3660B">
        <w:trPr>
          <w:trHeight w:val="383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</w:rPr>
              <w:t>AUTHOR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</w:rPr>
              <w:t>ANIMAL OR CELL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</w:rPr>
              <w:t>GRADE</w:t>
            </w:r>
          </w:p>
        </w:tc>
      </w:tr>
      <w:tr w:rsidR="000D1A08" w:rsidRPr="000D1A08" w:rsidTr="00E3660B">
        <w:trPr>
          <w:trHeight w:val="41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Georgia" w:eastAsia="Calibri" w:hAnsi="Georgia" w:cs="Calibri"/>
                <w:color w:val="000000"/>
                <w:sz w:val="18"/>
                <w:szCs w:val="18"/>
                <w:u w:color="000000"/>
                <w:bdr w:val="nil"/>
              </w:rPr>
              <w:t>Li Y, 2011. Effects of IL-17A on the occurrence of lung adenocarcinoma.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  <w:tr w:rsidR="000D1A08" w:rsidRPr="000D1A08" w:rsidTr="00E3660B">
        <w:trPr>
          <w:trHeight w:val="61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proofErr w:type="spellStart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>Eiro</w:t>
            </w:r>
            <w:proofErr w:type="spellEnd"/>
            <w:r w:rsidRPr="000D1A08">
              <w:rPr>
                <w:rFonts w:ascii="Georgia" w:eastAsia="Cambria" w:hAnsi="Georgia" w:cs="Cambria"/>
                <w:color w:val="000000"/>
                <w:sz w:val="18"/>
                <w:szCs w:val="18"/>
                <w:u w:color="000000"/>
                <w:bdr w:val="nil"/>
              </w:rPr>
              <w:t xml:space="preserve"> N. 2017. Stromal factors involved in human prostate cancer development, progression and castration resistance.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CELL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A08" w:rsidRPr="000D1A08" w:rsidRDefault="000D1A08" w:rsidP="000D1A0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</w:rPr>
            </w:pPr>
            <w:r w:rsidRPr="000D1A08">
              <w:rPr>
                <w:rFonts w:ascii="Calibri" w:eastAsia="Calibri" w:hAnsi="Calibri" w:cs="Calibri"/>
                <w:color w:val="000000"/>
                <w:u w:color="000000"/>
                <w:bdr w:val="nil"/>
              </w:rPr>
              <w:t>AVERAGE</w:t>
            </w:r>
          </w:p>
        </w:tc>
      </w:tr>
    </w:tbl>
    <w:p w:rsidR="000D1A08" w:rsidRPr="000D1A08" w:rsidRDefault="000D1A08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color="000000"/>
          <w:bdr w:val="nil"/>
        </w:rPr>
      </w:pPr>
    </w:p>
    <w:p w:rsidR="000D1A08" w:rsidRPr="000D1A08" w:rsidRDefault="000D1A08" w:rsidP="000D1A0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  <w:u w:color="000000"/>
          <w:bdr w:val="nil"/>
        </w:rPr>
      </w:pPr>
    </w:p>
    <w:p w:rsidR="00A46FEF" w:rsidRPr="000D1A08" w:rsidRDefault="002C36C5" w:rsidP="000D1A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b/>
          <w:color w:val="000000"/>
          <w:u w:color="000000"/>
          <w:bdr w:val="nil"/>
        </w:rPr>
      </w:pPr>
      <w:bookmarkStart w:id="0" w:name="_GoBack"/>
      <w:bookmarkEnd w:id="0"/>
    </w:p>
    <w:sectPr w:rsidR="00A46FEF" w:rsidRPr="000D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C5" w:rsidRDefault="002C36C5" w:rsidP="000D1A08">
      <w:pPr>
        <w:spacing w:after="0" w:line="240" w:lineRule="auto"/>
      </w:pPr>
      <w:r>
        <w:separator/>
      </w:r>
    </w:p>
  </w:endnote>
  <w:endnote w:type="continuationSeparator" w:id="0">
    <w:p w:rsidR="002C36C5" w:rsidRDefault="002C36C5" w:rsidP="000D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Tahoma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C5" w:rsidRDefault="002C36C5" w:rsidP="000D1A08">
      <w:pPr>
        <w:spacing w:after="0" w:line="240" w:lineRule="auto"/>
      </w:pPr>
      <w:r>
        <w:separator/>
      </w:r>
    </w:p>
  </w:footnote>
  <w:footnote w:type="continuationSeparator" w:id="0">
    <w:p w:rsidR="002C36C5" w:rsidRDefault="002C36C5" w:rsidP="000D1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F67"/>
    <w:multiLevelType w:val="hybridMultilevel"/>
    <w:tmpl w:val="555E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234F"/>
    <w:multiLevelType w:val="hybridMultilevel"/>
    <w:tmpl w:val="D8EED8CA"/>
    <w:numStyleLink w:val="ImportedStyle5"/>
  </w:abstractNum>
  <w:abstractNum w:abstractNumId="2" w15:restartNumberingAfterBreak="0">
    <w:nsid w:val="24AD34E1"/>
    <w:multiLevelType w:val="hybridMultilevel"/>
    <w:tmpl w:val="A022A6E0"/>
    <w:styleLink w:val="ImportedStyle3"/>
    <w:lvl w:ilvl="0" w:tplc="6640FA9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D05C1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02960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D05C1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C685A0">
      <w:start w:val="1"/>
      <w:numFmt w:val="lowerRoman"/>
      <w:lvlText w:val="%3."/>
      <w:lvlJc w:val="left"/>
      <w:pPr>
        <w:ind w:left="2520" w:hanging="314"/>
      </w:pPr>
      <w:rPr>
        <w:rFonts w:hAnsi="Arial Unicode MS"/>
        <w:caps w:val="0"/>
        <w:smallCaps w:val="0"/>
        <w:strike w:val="0"/>
        <w:dstrike w:val="0"/>
        <w:color w:val="D05C1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F61EE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D05C1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18BAB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D05C1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A44816">
      <w:start w:val="1"/>
      <w:numFmt w:val="lowerRoman"/>
      <w:lvlText w:val="%6."/>
      <w:lvlJc w:val="left"/>
      <w:pPr>
        <w:ind w:left="4680" w:hanging="314"/>
      </w:pPr>
      <w:rPr>
        <w:rFonts w:hAnsi="Arial Unicode MS"/>
        <w:caps w:val="0"/>
        <w:smallCaps w:val="0"/>
        <w:strike w:val="0"/>
        <w:dstrike w:val="0"/>
        <w:color w:val="D05C1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4ED8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D05C1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4488B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D05C1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0CE5AA">
      <w:start w:val="1"/>
      <w:numFmt w:val="lowerRoman"/>
      <w:lvlText w:val="%9."/>
      <w:lvlJc w:val="left"/>
      <w:pPr>
        <w:ind w:left="6840" w:hanging="314"/>
      </w:pPr>
      <w:rPr>
        <w:rFonts w:hAnsi="Arial Unicode MS"/>
        <w:caps w:val="0"/>
        <w:smallCaps w:val="0"/>
        <w:strike w:val="0"/>
        <w:dstrike w:val="0"/>
        <w:color w:val="D05C1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5512D06"/>
    <w:multiLevelType w:val="hybridMultilevel"/>
    <w:tmpl w:val="B5E2239A"/>
    <w:numStyleLink w:val="ImportedStyle4"/>
  </w:abstractNum>
  <w:abstractNum w:abstractNumId="4" w15:restartNumberingAfterBreak="0">
    <w:nsid w:val="367D164C"/>
    <w:multiLevelType w:val="hybridMultilevel"/>
    <w:tmpl w:val="41BAE57E"/>
    <w:styleLink w:val="ImportedStyle2"/>
    <w:lvl w:ilvl="0" w:tplc="D47E5ED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BE18C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CA920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D2B6A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B46EB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3414D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745F8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325B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C6AC4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555FFC"/>
    <w:multiLevelType w:val="hybridMultilevel"/>
    <w:tmpl w:val="33A6F124"/>
    <w:lvl w:ilvl="0" w:tplc="AABEA7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676BB"/>
    <w:multiLevelType w:val="multilevel"/>
    <w:tmpl w:val="BBDA1B96"/>
    <w:numStyleLink w:val="ImportedStyle6"/>
  </w:abstractNum>
  <w:abstractNum w:abstractNumId="7" w15:restartNumberingAfterBreak="0">
    <w:nsid w:val="49200315"/>
    <w:multiLevelType w:val="hybridMultilevel"/>
    <w:tmpl w:val="A022A6E0"/>
    <w:numStyleLink w:val="ImportedStyle3"/>
  </w:abstractNum>
  <w:abstractNum w:abstractNumId="8" w15:restartNumberingAfterBreak="0">
    <w:nsid w:val="545461E1"/>
    <w:multiLevelType w:val="hybridMultilevel"/>
    <w:tmpl w:val="A4D05960"/>
    <w:lvl w:ilvl="0" w:tplc="272E71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0E5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38887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A6C2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A51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A80DE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E49D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662B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2ADEC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B5171FB"/>
    <w:multiLevelType w:val="hybridMultilevel"/>
    <w:tmpl w:val="D8EED8CA"/>
    <w:styleLink w:val="ImportedStyle5"/>
    <w:lvl w:ilvl="0" w:tplc="615CA668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26AC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302BD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E42B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6D7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6EB0B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78D6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5240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B00D8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8DC5868"/>
    <w:multiLevelType w:val="hybridMultilevel"/>
    <w:tmpl w:val="B5E2239A"/>
    <w:styleLink w:val="ImportedStyle4"/>
    <w:lvl w:ilvl="0" w:tplc="502AABD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4EA5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A6311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06BDB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441C0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1C9720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BC280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76F5D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BA5578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934101F"/>
    <w:multiLevelType w:val="hybridMultilevel"/>
    <w:tmpl w:val="41BAE57E"/>
    <w:numStyleLink w:val="ImportedStyle2"/>
  </w:abstractNum>
  <w:abstractNum w:abstractNumId="12" w15:restartNumberingAfterBreak="0">
    <w:nsid w:val="7D0A3CE8"/>
    <w:multiLevelType w:val="hybridMultilevel"/>
    <w:tmpl w:val="BBDA1B96"/>
    <w:styleLink w:val="ImportedStyle6"/>
    <w:lvl w:ilvl="0" w:tplc="D2465A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E8FB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36745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2226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F29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3274C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6E4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677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58F824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1"/>
    <w:lvlOverride w:ilvl="0">
      <w:lvl w:ilvl="0" w:tplc="DE504F00">
        <w:start w:val="1"/>
        <w:numFmt w:val="decimal"/>
        <w:lvlText w:val="%1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F2FB6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506CEC">
        <w:start w:val="1"/>
        <w:numFmt w:val="lowerRoman"/>
        <w:lvlText w:val="%3."/>
        <w:lvlJc w:val="left"/>
        <w:pPr>
          <w:ind w:left="2160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50401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7CDD9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CC5B00">
        <w:start w:val="1"/>
        <w:numFmt w:val="lowerRoman"/>
        <w:lvlText w:val="%6."/>
        <w:lvlJc w:val="left"/>
        <w:pPr>
          <w:ind w:left="4320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00F00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7AB4A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4818C0">
        <w:start w:val="1"/>
        <w:numFmt w:val="lowerRoman"/>
        <w:lvlText w:val="%9."/>
        <w:lvlJc w:val="left"/>
        <w:pPr>
          <w:ind w:left="6480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"/>
  </w:num>
  <w:num w:numId="12">
    <w:abstractNumId w:val="6"/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916"/>
            <w:tab w:val="left" w:pos="1832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27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7328"/>
            <w:tab w:val="left" w:pos="8244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  <w:tab w:val="left" w:pos="8860"/>
          </w:tabs>
          <w:ind w:left="6412" w:hanging="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65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659"/>
            <w:tab w:val="num" w:pos="1440"/>
          </w:tabs>
          <w:ind w:left="150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659"/>
            <w:tab w:val="num" w:pos="2160"/>
          </w:tabs>
          <w:ind w:left="222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659"/>
            <w:tab w:val="num" w:pos="2880"/>
          </w:tabs>
          <w:ind w:left="294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659"/>
            <w:tab w:val="num" w:pos="3600"/>
          </w:tabs>
          <w:ind w:left="366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659"/>
            <w:tab w:val="num" w:pos="4320"/>
          </w:tabs>
          <w:ind w:left="438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659"/>
            <w:tab w:val="num" w:pos="5040"/>
          </w:tabs>
          <w:ind w:left="510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659"/>
            <w:tab w:val="num" w:pos="5760"/>
          </w:tabs>
          <w:ind w:left="582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659"/>
            <w:tab w:val="num" w:pos="6480"/>
          </w:tabs>
          <w:ind w:left="654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08"/>
    <w:rsid w:val="000D1A08"/>
    <w:rsid w:val="002C36C5"/>
    <w:rsid w:val="007675BF"/>
    <w:rsid w:val="007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1D81"/>
  <w15:chartTrackingRefBased/>
  <w15:docId w15:val="{CA3A5A1A-B246-41B2-9B50-5E82CC89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D1A08"/>
  </w:style>
  <w:style w:type="character" w:styleId="Hyperlink">
    <w:name w:val="Hyperlink"/>
    <w:rsid w:val="000D1A08"/>
    <w:rPr>
      <w:u w:val="single"/>
    </w:rPr>
  </w:style>
  <w:style w:type="paragraph" w:customStyle="1" w:styleId="HeaderFooter">
    <w:name w:val="Header &amp; Footer"/>
    <w:rsid w:val="000D1A0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0D1A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Default">
    <w:name w:val="Default"/>
    <w:rsid w:val="000D1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styleId="ListParagraph">
    <w:name w:val="List Paragraph"/>
    <w:rsid w:val="000D1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0D1A08"/>
    <w:pPr>
      <w:numPr>
        <w:numId w:val="2"/>
      </w:numPr>
    </w:pPr>
  </w:style>
  <w:style w:type="character" w:customStyle="1" w:styleId="None">
    <w:name w:val="None"/>
    <w:rsid w:val="000D1A08"/>
  </w:style>
  <w:style w:type="character" w:customStyle="1" w:styleId="Hyperlink0">
    <w:name w:val="Hyperlink.0"/>
    <w:basedOn w:val="None"/>
    <w:rsid w:val="000D1A08"/>
    <w:rPr>
      <w:rFonts w:ascii="Georgia" w:eastAsia="Georgia" w:hAnsi="Georgia" w:cs="Georgia"/>
      <w:sz w:val="24"/>
      <w:szCs w:val="24"/>
    </w:rPr>
  </w:style>
  <w:style w:type="numbering" w:customStyle="1" w:styleId="ImportedStyle3">
    <w:name w:val="Imported Style 3"/>
    <w:rsid w:val="000D1A08"/>
    <w:pPr>
      <w:numPr>
        <w:numId w:val="4"/>
      </w:numPr>
    </w:pPr>
  </w:style>
  <w:style w:type="numbering" w:customStyle="1" w:styleId="ImportedStyle4">
    <w:name w:val="Imported Style 4"/>
    <w:rsid w:val="000D1A08"/>
    <w:pPr>
      <w:numPr>
        <w:numId w:val="6"/>
      </w:numPr>
    </w:pPr>
  </w:style>
  <w:style w:type="paragraph" w:styleId="CommentText">
    <w:name w:val="annotation text"/>
    <w:link w:val="CommentTextChar"/>
    <w:rsid w:val="000D1A0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rsid w:val="000D1A08"/>
    <w:rPr>
      <w:rFonts w:ascii="Cambria" w:eastAsia="Cambria" w:hAnsi="Cambria" w:cs="Cambria"/>
      <w:color w:val="000000"/>
      <w:sz w:val="20"/>
      <w:szCs w:val="20"/>
      <w:u w:color="000000"/>
      <w:bdr w:val="nil"/>
    </w:rPr>
  </w:style>
  <w:style w:type="numbering" w:customStyle="1" w:styleId="ImportedStyle5">
    <w:name w:val="Imported Style 5"/>
    <w:rsid w:val="000D1A08"/>
    <w:pPr>
      <w:numPr>
        <w:numId w:val="8"/>
      </w:numPr>
    </w:pPr>
  </w:style>
  <w:style w:type="paragraph" w:customStyle="1" w:styleId="EndNoteBibliography">
    <w:name w:val="EndNote Bibliography"/>
    <w:rsid w:val="000D1A08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</w:pPr>
    <w:rPr>
      <w:rFonts w:ascii="Cambria" w:eastAsia="Cambria" w:hAnsi="Cambria" w:cs="Cambria"/>
      <w:color w:val="000000"/>
      <w:sz w:val="24"/>
      <w:u w:color="000000"/>
      <w:bdr w:val="nil"/>
    </w:rPr>
  </w:style>
  <w:style w:type="numbering" w:customStyle="1" w:styleId="ImportedStyle6">
    <w:name w:val="Imported Style 6"/>
    <w:rsid w:val="000D1A08"/>
    <w:pPr>
      <w:numPr>
        <w:numId w:val="11"/>
      </w:numPr>
    </w:pPr>
  </w:style>
  <w:style w:type="character" w:customStyle="1" w:styleId="Hyperlink1">
    <w:name w:val="Hyperlink.1"/>
    <w:basedOn w:val="None"/>
    <w:rsid w:val="000D1A08"/>
    <w:rPr>
      <w:rFonts w:ascii="Arial" w:eastAsia="Arial" w:hAnsi="Arial" w:cs="Arial"/>
      <w:color w:val="660066"/>
      <w:sz w:val="17"/>
      <w:szCs w:val="17"/>
      <w:u w:val="single" w:color="660066"/>
      <w:shd w:val="clear" w:color="auto" w:fill="FFFFFF"/>
      <w:lang w:val="en-US"/>
    </w:rPr>
  </w:style>
  <w:style w:type="character" w:customStyle="1" w:styleId="Hyperlink2">
    <w:name w:val="Hyperlink.2"/>
    <w:basedOn w:val="None"/>
    <w:rsid w:val="000D1A08"/>
    <w:rPr>
      <w:rFonts w:ascii="Times New Roman" w:eastAsia="Times New Roman" w:hAnsi="Times New Roman" w:cs="Times New Roman"/>
      <w:color w:val="262626"/>
      <w:sz w:val="18"/>
      <w:szCs w:val="18"/>
      <w:u w:color="262626"/>
      <w:lang w:val="en-US"/>
    </w:rPr>
  </w:style>
  <w:style w:type="character" w:customStyle="1" w:styleId="Hyperlink3">
    <w:name w:val="Hyperlink.3"/>
    <w:basedOn w:val="None"/>
    <w:rsid w:val="000D1A08"/>
    <w:rPr>
      <w:color w:val="0000FF"/>
      <w:u w:val="single" w:color="0000FF"/>
      <w:shd w:val="clear" w:color="auto" w:fill="FFFFF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1A0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08"/>
    <w:rPr>
      <w:rFonts w:ascii="Segoe UI" w:eastAsia="Arial Unicode MS" w:hAnsi="Segoe UI" w:cs="Segoe UI"/>
      <w:sz w:val="18"/>
      <w:szCs w:val="18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08"/>
    <w:pPr>
      <w:spacing w:after="0"/>
    </w:pPr>
    <w:rPr>
      <w:rFonts w:ascii="Times New Roman" w:eastAsia="Arial Unicode MS" w:hAnsi="Times New Roman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08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</w:rPr>
  </w:style>
  <w:style w:type="paragraph" w:styleId="Revision">
    <w:name w:val="Revision"/>
    <w:hidden/>
    <w:uiPriority w:val="99"/>
    <w:semiHidden/>
    <w:rsid w:val="000D1A0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0D1A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D1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31">
    <w:name w:val="Imported Style 31"/>
    <w:rsid w:val="000D1A08"/>
  </w:style>
  <w:style w:type="paragraph" w:styleId="Header">
    <w:name w:val="header"/>
    <w:basedOn w:val="Normal"/>
    <w:link w:val="HeaderChar"/>
    <w:uiPriority w:val="99"/>
    <w:unhideWhenUsed/>
    <w:rsid w:val="000D1A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0D1A0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0D1A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0D1A08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EndNoteBibliographyTitle">
    <w:name w:val="EndNote Bibliography Title"/>
    <w:basedOn w:val="Normal"/>
    <w:rsid w:val="000D1A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ambria" w:eastAsia="Arial Unicode MS" w:hAnsi="Cambria" w:cs="Times New Roman"/>
      <w:sz w:val="24"/>
      <w:szCs w:val="24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0D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Exadaktylos%2520AK%255BAuthor%255D&amp;cauthor=true&amp;cauthor_uid=170060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45838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cbi.nlm.nih.gov/pubmed/23868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hiller+hacking+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Missair, Andres</dc:creator>
  <cp:keywords/>
  <dc:description/>
  <cp:lastModifiedBy>Missair, Andres</cp:lastModifiedBy>
  <cp:revision>1</cp:revision>
  <dcterms:created xsi:type="dcterms:W3CDTF">2018-04-12T15:19:00Z</dcterms:created>
  <dcterms:modified xsi:type="dcterms:W3CDTF">2018-04-12T15:22:00Z</dcterms:modified>
</cp:coreProperties>
</file>